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contextualSpacing w:val="0"/>
        <w:jc w:val="center"/>
        <w:rPr>
          <w:b w:val="0"/>
          <w:i w:val="1"/>
          <w:color w:val="999999"/>
          <w:sz w:val="20"/>
          <w:szCs w:val="20"/>
        </w:rPr>
      </w:pPr>
      <w:bookmarkStart w:colFirst="0" w:colLast="0" w:name="_s3kmw9cg6plu" w:id="0"/>
      <w:bookmarkEnd w:id="0"/>
      <w:r w:rsidDel="00000000" w:rsidR="00000000" w:rsidRPr="00000000">
        <w:rPr>
          <w:b w:val="0"/>
          <w:i w:val="1"/>
          <w:color w:val="999999"/>
          <w:sz w:val="20"/>
          <w:szCs w:val="20"/>
          <w:rtl w:val="0"/>
        </w:rPr>
        <w:t xml:space="preserve">***** La version française suit l’anglais dans ce document / French version follows the English*****</w:t>
      </w:r>
    </w:p>
    <w:p w:rsidR="00000000" w:rsidDel="00000000" w:rsidP="00000000" w:rsidRDefault="00000000" w:rsidRPr="00000000" w14:paraId="00000001">
      <w:pPr>
        <w:pStyle w:val="Title"/>
        <w:contextualSpacing w:val="0"/>
        <w:rPr>
          <w:color w:val="4472c4"/>
          <w:sz w:val="36"/>
          <w:szCs w:val="36"/>
        </w:rPr>
      </w:pPr>
      <w:bookmarkStart w:colFirst="0" w:colLast="0" w:name="_oq2em94kve6v" w:id="1"/>
      <w:bookmarkEnd w:id="1"/>
      <w:r w:rsidDel="00000000" w:rsidR="00000000" w:rsidRPr="00000000">
        <w:rPr>
          <w:color w:val="4472c4"/>
          <w:sz w:val="36"/>
          <w:szCs w:val="36"/>
          <w:rtl w:val="0"/>
        </w:rPr>
        <w:t xml:space="preserve">2016 Amundsen ship-based campaign </w:t>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keepNext w:val="1"/>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drawing>
          <wp:inline distB="114300" distT="114300" distL="114300" distR="114300">
            <wp:extent cx="3190875" cy="4257675"/>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3190875" cy="425767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t xml:space="preserve">Working with the microlayer skimmer from the zodiac with the CCGS Amundsen in the background (2016) </w:t>
      </w:r>
    </w:p>
    <w:p w:rsidR="00000000" w:rsidDel="00000000" w:rsidP="00000000" w:rsidRDefault="00000000" w:rsidRPr="00000000" w14:paraId="00000006">
      <w:pPr>
        <w:contextualSpacing w:val="0"/>
        <w:rPr>
          <w:smallCaps w:val="1"/>
        </w:rPr>
      </w:pPr>
      <w:r w:rsidDel="00000000" w:rsidR="00000000" w:rsidRPr="00000000">
        <w:rPr>
          <w:rtl w:val="0"/>
        </w:rPr>
      </w:r>
    </w:p>
    <w:p w:rsidR="00000000" w:rsidDel="00000000" w:rsidP="00000000" w:rsidRDefault="00000000" w:rsidRPr="00000000" w14:paraId="00000007">
      <w:pPr>
        <w:contextualSpacing w:val="0"/>
        <w:rPr>
          <w:smallCaps w:val="1"/>
        </w:rPr>
      </w:pPr>
      <w:r w:rsidDel="00000000" w:rsidR="00000000" w:rsidRPr="00000000">
        <w:rPr>
          <w:rtl w:val="0"/>
        </w:rPr>
      </w:r>
    </w:p>
    <w:p w:rsidR="00000000" w:rsidDel="00000000" w:rsidP="00000000" w:rsidRDefault="00000000" w:rsidRPr="00000000" w14:paraId="00000008">
      <w:pPr>
        <w:contextualSpacing w:val="0"/>
        <w:rPr>
          <w:i w:val="1"/>
        </w:rPr>
      </w:pPr>
      <w:r w:rsidDel="00000000" w:rsidR="00000000" w:rsidRPr="00000000">
        <w:rPr>
          <w:rtl w:val="0"/>
        </w:rPr>
        <w:t xml:space="preserve">NETCARE scientists were on board the Canadian research icebreaker CCGS Amundsen studying atmospheric and oceanic composition throughout the Canadian Arctic in 2016. NETCARE scientists were aboard the ship from 14 July - 25 August, sailing from Iqaluit to Kugluktuk with a personnel change on 27 July at Qikiqtarjuaq.</w:t>
      </w: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pStyle w:val="Heading1"/>
        <w:contextualSpacing w:val="0"/>
        <w:rPr/>
      </w:pPr>
      <w:bookmarkStart w:colFirst="0" w:colLast="0" w:name="_toa30pnvufu7" w:id="2"/>
      <w:bookmarkEnd w:id="2"/>
      <w:r w:rsidDel="00000000" w:rsidR="00000000" w:rsidRPr="00000000">
        <w:rPr>
          <w:rtl w:val="0"/>
        </w:rPr>
        <w:t xml:space="preserve">Institutions Involved</w:t>
      </w:r>
    </w:p>
    <w:p w:rsidR="00000000" w:rsidDel="00000000" w:rsidP="00000000" w:rsidRDefault="00000000" w:rsidRPr="00000000" w14:paraId="0000000B">
      <w:pPr>
        <w:widowControl w:val="0"/>
        <w:numPr>
          <w:ilvl w:val="0"/>
          <w:numId w:val="1"/>
        </w:numPr>
        <w:spacing w:line="276" w:lineRule="auto"/>
        <w:ind w:left="720" w:hanging="360"/>
        <w:contextualSpacing w:val="1"/>
        <w:rPr>
          <w:rFonts w:ascii="Calibri" w:cs="Calibri" w:eastAsia="Calibri" w:hAnsi="Calibri"/>
        </w:rPr>
      </w:pPr>
      <w:r w:rsidDel="00000000" w:rsidR="00000000" w:rsidRPr="00000000">
        <w:rPr>
          <w:rtl w:val="0"/>
        </w:rPr>
        <w:t xml:space="preserve">University of Toronto</w:t>
      </w:r>
    </w:p>
    <w:p w:rsidR="00000000" w:rsidDel="00000000" w:rsidP="00000000" w:rsidRDefault="00000000" w:rsidRPr="00000000" w14:paraId="0000000C">
      <w:pPr>
        <w:widowControl w:val="0"/>
        <w:numPr>
          <w:ilvl w:val="0"/>
          <w:numId w:val="1"/>
        </w:numPr>
        <w:spacing w:line="276" w:lineRule="auto"/>
        <w:ind w:left="720" w:hanging="360"/>
        <w:contextualSpacing w:val="1"/>
        <w:rPr>
          <w:rFonts w:ascii="Calibri" w:cs="Calibri" w:eastAsia="Calibri" w:hAnsi="Calibri"/>
        </w:rPr>
      </w:pPr>
      <w:r w:rsidDel="00000000" w:rsidR="00000000" w:rsidRPr="00000000">
        <w:rPr>
          <w:rtl w:val="0"/>
        </w:rPr>
        <w:t xml:space="preserve">University of British Columbia</w:t>
      </w:r>
    </w:p>
    <w:p w:rsidR="00000000" w:rsidDel="00000000" w:rsidP="00000000" w:rsidRDefault="00000000" w:rsidRPr="00000000" w14:paraId="0000000D">
      <w:pPr>
        <w:widowControl w:val="0"/>
        <w:numPr>
          <w:ilvl w:val="0"/>
          <w:numId w:val="1"/>
        </w:numPr>
        <w:spacing w:line="276" w:lineRule="auto"/>
        <w:ind w:left="720" w:hanging="360"/>
        <w:contextualSpacing w:val="1"/>
        <w:rPr>
          <w:rFonts w:ascii="Calibri" w:cs="Calibri" w:eastAsia="Calibri" w:hAnsi="Calibri"/>
        </w:rPr>
      </w:pPr>
      <w:r w:rsidDel="00000000" w:rsidR="00000000" w:rsidRPr="00000000">
        <w:rPr>
          <w:rtl w:val="0"/>
        </w:rPr>
        <w:t xml:space="preserve">University of Calgary</w:t>
      </w:r>
    </w:p>
    <w:p w:rsidR="00000000" w:rsidDel="00000000" w:rsidP="00000000" w:rsidRDefault="00000000" w:rsidRPr="00000000" w14:paraId="0000000E">
      <w:pPr>
        <w:widowControl w:val="0"/>
        <w:numPr>
          <w:ilvl w:val="0"/>
          <w:numId w:val="1"/>
        </w:numPr>
        <w:spacing w:line="276" w:lineRule="auto"/>
        <w:ind w:left="720" w:hanging="360"/>
        <w:contextualSpacing w:val="1"/>
        <w:rPr>
          <w:rFonts w:ascii="Calibri" w:cs="Calibri" w:eastAsia="Calibri" w:hAnsi="Calibri"/>
        </w:rPr>
      </w:pPr>
      <w:r w:rsidDel="00000000" w:rsidR="00000000" w:rsidRPr="00000000">
        <w:rPr>
          <w:rtl w:val="0"/>
        </w:rPr>
        <w:t xml:space="preserve">Environment and Climate Change Canada</w:t>
      </w:r>
    </w:p>
    <w:p w:rsidR="00000000" w:rsidDel="00000000" w:rsidP="00000000" w:rsidRDefault="00000000" w:rsidRPr="00000000" w14:paraId="0000000F">
      <w:pPr>
        <w:widowControl w:val="0"/>
        <w:numPr>
          <w:ilvl w:val="0"/>
          <w:numId w:val="1"/>
        </w:numPr>
        <w:spacing w:line="276" w:lineRule="auto"/>
        <w:ind w:left="720" w:hanging="360"/>
        <w:contextualSpacing w:val="1"/>
        <w:rPr>
          <w:rFonts w:ascii="Calibri" w:cs="Calibri" w:eastAsia="Calibri" w:hAnsi="Calibri"/>
        </w:rPr>
      </w:pPr>
      <w:r w:rsidDel="00000000" w:rsidR="00000000" w:rsidRPr="00000000">
        <w:rPr>
          <w:rtl w:val="0"/>
        </w:rPr>
        <w:t xml:space="preserve">Dalhousie University</w:t>
      </w:r>
    </w:p>
    <w:p w:rsidR="00000000" w:rsidDel="00000000" w:rsidP="00000000" w:rsidRDefault="00000000" w:rsidRPr="00000000" w14:paraId="00000010">
      <w:pPr>
        <w:ind w:left="360" w:firstLine="0"/>
        <w:contextualSpacing w:val="0"/>
        <w:rPr>
          <w:i w:val="1"/>
        </w:rPr>
      </w:pPr>
      <w:r w:rsidDel="00000000" w:rsidR="00000000" w:rsidRPr="00000000">
        <w:rPr>
          <w:rtl w:val="0"/>
        </w:rPr>
      </w:r>
    </w:p>
    <w:p w:rsidR="00000000" w:rsidDel="00000000" w:rsidP="00000000" w:rsidRDefault="00000000" w:rsidRPr="00000000" w14:paraId="00000011">
      <w:pPr>
        <w:pStyle w:val="Heading1"/>
        <w:contextualSpacing w:val="0"/>
        <w:rPr/>
      </w:pPr>
      <w:bookmarkStart w:colFirst="0" w:colLast="0" w:name="_ml9x7jubp1ea" w:id="3"/>
      <w:bookmarkEnd w:id="3"/>
      <w:r w:rsidDel="00000000" w:rsidR="00000000" w:rsidRPr="00000000">
        <w:rPr>
          <w:rtl w:val="0"/>
        </w:rPr>
        <w:t xml:space="preserve">Data sets</w:t>
      </w:r>
    </w:p>
    <w:p w:rsidR="00000000" w:rsidDel="00000000" w:rsidP="00000000" w:rsidRDefault="00000000" w:rsidRPr="00000000" w14:paraId="00000012">
      <w:pPr>
        <w:numPr>
          <w:ilvl w:val="0"/>
          <w:numId w:val="1"/>
        </w:numPr>
        <w:ind w:left="720" w:hanging="360"/>
        <w:rPr>
          <w:rFonts w:ascii="Calibri" w:cs="Calibri" w:eastAsia="Calibri" w:hAnsi="Calibri"/>
        </w:rPr>
      </w:pPr>
      <w:r w:rsidDel="00000000" w:rsidR="00000000" w:rsidRPr="00000000">
        <w:rPr>
          <w:rtl w:val="0"/>
        </w:rPr>
        <w:t xml:space="preserve">Atmospheric gas phase species</w:t>
      </w:r>
    </w:p>
    <w:p w:rsidR="00000000" w:rsidDel="00000000" w:rsidP="00000000" w:rsidRDefault="00000000" w:rsidRPr="00000000" w14:paraId="00000013">
      <w:pPr>
        <w:numPr>
          <w:ilvl w:val="0"/>
          <w:numId w:val="1"/>
        </w:numPr>
        <w:ind w:left="720" w:hanging="360"/>
        <w:rPr>
          <w:rFonts w:ascii="Calibri" w:cs="Calibri" w:eastAsia="Calibri" w:hAnsi="Calibri"/>
        </w:rPr>
      </w:pPr>
      <w:r w:rsidDel="00000000" w:rsidR="00000000" w:rsidRPr="00000000">
        <w:rPr>
          <w:rtl w:val="0"/>
        </w:rPr>
        <w:t xml:space="preserve">Atmospheric aerosol particle size and number density</w:t>
      </w:r>
    </w:p>
    <w:p w:rsidR="00000000" w:rsidDel="00000000" w:rsidP="00000000" w:rsidRDefault="00000000" w:rsidRPr="00000000" w14:paraId="00000014">
      <w:pPr>
        <w:numPr>
          <w:ilvl w:val="0"/>
          <w:numId w:val="1"/>
        </w:numPr>
        <w:ind w:left="720" w:hanging="360"/>
        <w:rPr>
          <w:rFonts w:ascii="Calibri" w:cs="Calibri" w:eastAsia="Calibri" w:hAnsi="Calibri"/>
        </w:rPr>
      </w:pPr>
      <w:r w:rsidDel="00000000" w:rsidR="00000000" w:rsidRPr="00000000">
        <w:rPr>
          <w:rtl w:val="0"/>
        </w:rPr>
        <w:t xml:space="preserve">Atmospheric aerosol particle composition</w:t>
      </w:r>
    </w:p>
    <w:p w:rsidR="00000000" w:rsidDel="00000000" w:rsidP="00000000" w:rsidRDefault="00000000" w:rsidRPr="00000000" w14:paraId="00000015">
      <w:pPr>
        <w:numPr>
          <w:ilvl w:val="0"/>
          <w:numId w:val="1"/>
        </w:numPr>
        <w:ind w:left="720" w:hanging="360"/>
        <w:rPr>
          <w:rFonts w:ascii="Calibri" w:cs="Calibri" w:eastAsia="Calibri" w:hAnsi="Calibri"/>
        </w:rPr>
      </w:pPr>
      <w:r w:rsidDel="00000000" w:rsidR="00000000" w:rsidRPr="00000000">
        <w:rPr>
          <w:rtl w:val="0"/>
        </w:rPr>
        <w:t xml:space="preserve">Atmospheric aerosol chemistry</w:t>
      </w:r>
    </w:p>
    <w:p w:rsidR="00000000" w:rsidDel="00000000" w:rsidP="00000000" w:rsidRDefault="00000000" w:rsidRPr="00000000" w14:paraId="00000016">
      <w:pPr>
        <w:numPr>
          <w:ilvl w:val="0"/>
          <w:numId w:val="1"/>
        </w:numPr>
        <w:ind w:left="720" w:hanging="360"/>
        <w:rPr>
          <w:rFonts w:ascii="Calibri" w:cs="Calibri" w:eastAsia="Calibri" w:hAnsi="Calibri"/>
        </w:rPr>
      </w:pPr>
      <w:r w:rsidDel="00000000" w:rsidR="00000000" w:rsidRPr="00000000">
        <w:rPr>
          <w:rtl w:val="0"/>
        </w:rPr>
        <w:t xml:space="preserve">Number of ice cloud forming particles</w:t>
      </w:r>
    </w:p>
    <w:p w:rsidR="00000000" w:rsidDel="00000000" w:rsidP="00000000" w:rsidRDefault="00000000" w:rsidRPr="00000000" w14:paraId="00000017">
      <w:pPr>
        <w:numPr>
          <w:ilvl w:val="0"/>
          <w:numId w:val="1"/>
        </w:numPr>
        <w:ind w:left="720" w:hanging="360"/>
        <w:rPr>
          <w:rFonts w:ascii="Calibri" w:cs="Calibri" w:eastAsia="Calibri" w:hAnsi="Calibri"/>
          <w:sz w:val="22"/>
          <w:szCs w:val="22"/>
        </w:rPr>
      </w:pPr>
      <w:r w:rsidDel="00000000" w:rsidR="00000000" w:rsidRPr="00000000">
        <w:rPr>
          <w:rtl w:val="0"/>
        </w:rPr>
        <w:t xml:space="preserve">Ship’s location information</w:t>
      </w:r>
      <w:r w:rsidDel="00000000" w:rsidR="00000000" w:rsidRPr="00000000">
        <w:rPr>
          <w:sz w:val="22"/>
          <w:szCs w:val="22"/>
          <w:rtl w:val="0"/>
        </w:rPr>
        <w:t xml:space="preserve"> </w:t>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widowControl w:val="0"/>
        <w:spacing w:after="200" w:line="276" w:lineRule="auto"/>
        <w:contextualSpacing w:val="0"/>
        <w:jc w:val="center"/>
        <w:rPr>
          <w:color w:val="999999"/>
        </w:rPr>
      </w:pPr>
      <w:r w:rsidDel="00000000" w:rsidR="00000000" w:rsidRPr="00000000">
        <w:rPr>
          <w:color w:val="999999"/>
          <w:rtl w:val="0"/>
        </w:rPr>
        <w:t xml:space="preserve">*************************************************</w:t>
      </w:r>
    </w:p>
    <w:p w:rsidR="00000000" w:rsidDel="00000000" w:rsidP="00000000" w:rsidRDefault="00000000" w:rsidRPr="00000000" w14:paraId="0000001B">
      <w:pPr>
        <w:widowControl w:val="0"/>
        <w:spacing w:after="200" w:line="276" w:lineRule="auto"/>
        <w:contextualSpacing w:val="0"/>
        <w:jc w:val="center"/>
        <w:rPr>
          <w:color w:val="999999"/>
        </w:rPr>
      </w:pPr>
      <w:r w:rsidDel="00000000" w:rsidR="00000000" w:rsidRPr="00000000">
        <w:rPr>
          <w:rtl w:val="0"/>
        </w:rPr>
      </w:r>
    </w:p>
    <w:p w:rsidR="00000000" w:rsidDel="00000000" w:rsidP="00000000" w:rsidRDefault="00000000" w:rsidRPr="00000000" w14:paraId="0000001C">
      <w:pPr>
        <w:widowControl w:val="0"/>
        <w:spacing w:after="0" w:line="276" w:lineRule="auto"/>
        <w:contextualSpacing w:val="0"/>
        <w:rPr>
          <w:b w:val="1"/>
          <w:color w:val="4472c4"/>
          <w:sz w:val="36"/>
          <w:szCs w:val="36"/>
        </w:rPr>
      </w:pPr>
      <w:r w:rsidDel="00000000" w:rsidR="00000000" w:rsidRPr="00000000">
        <w:rPr>
          <w:b w:val="1"/>
          <w:color w:val="4472c4"/>
          <w:sz w:val="36"/>
          <w:szCs w:val="36"/>
          <w:rtl w:val="0"/>
        </w:rPr>
        <w:t xml:space="preserve">Campagne navale Amundsen de 2016</w:t>
      </w:r>
    </w:p>
    <w:p w:rsidR="00000000" w:rsidDel="00000000" w:rsidP="00000000" w:rsidRDefault="00000000" w:rsidRPr="00000000" w14:paraId="0000001D">
      <w:pPr>
        <w:widowControl w:val="0"/>
        <w:spacing w:after="0" w:line="276" w:lineRule="auto"/>
        <w:contextualSpacing w:val="0"/>
        <w:rPr/>
      </w:pPr>
      <w:r w:rsidDel="00000000" w:rsidR="00000000" w:rsidRPr="00000000">
        <w:rPr>
          <w:rtl w:val="0"/>
        </w:rPr>
        <w:t xml:space="preserve"> </w:t>
      </w:r>
    </w:p>
    <w:p w:rsidR="00000000" w:rsidDel="00000000" w:rsidP="00000000" w:rsidRDefault="00000000" w:rsidRPr="00000000" w14:paraId="0000001E">
      <w:pPr>
        <w:widowControl w:val="0"/>
        <w:spacing w:after="200" w:line="276" w:lineRule="auto"/>
        <w:contextualSpacing w:val="0"/>
        <w:rPr/>
      </w:pPr>
      <w:r w:rsidDel="00000000" w:rsidR="00000000" w:rsidRPr="00000000">
        <w:rPr/>
        <w:drawing>
          <wp:inline distB="114300" distT="114300" distL="114300" distR="114300">
            <wp:extent cx="3190875" cy="4257675"/>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190875" cy="4257675"/>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widowControl w:val="0"/>
        <w:spacing w:after="200" w:line="276" w:lineRule="auto"/>
        <w:contextualSpacing w:val="0"/>
        <w:rPr/>
      </w:pPr>
      <w:r w:rsidDel="00000000" w:rsidR="00000000" w:rsidRPr="00000000">
        <w:rPr>
          <w:rtl w:val="0"/>
        </w:rPr>
        <w:t xml:space="preserve">Travaux scientifiques effectués avec le récupérateur à microcouche de surface à bord du zodiac ; avec le </w:t>
      </w:r>
      <w:r w:rsidDel="00000000" w:rsidR="00000000" w:rsidRPr="00000000">
        <w:rPr>
          <w:i w:val="1"/>
          <w:rtl w:val="0"/>
        </w:rPr>
        <w:t xml:space="preserve">NGCC Amundsen</w:t>
      </w:r>
      <w:r w:rsidDel="00000000" w:rsidR="00000000" w:rsidRPr="00000000">
        <w:rPr>
          <w:rtl w:val="0"/>
        </w:rPr>
        <w:t xml:space="preserve"> en arrière plan (2016).</w:t>
      </w:r>
    </w:p>
    <w:p w:rsidR="00000000" w:rsidDel="00000000" w:rsidP="00000000" w:rsidRDefault="00000000" w:rsidRPr="00000000" w14:paraId="00000020">
      <w:pPr>
        <w:widowControl w:val="0"/>
        <w:spacing w:after="200" w:line="276" w:lineRule="auto"/>
        <w:contextualSpacing w:val="0"/>
        <w:rPr/>
      </w:pPr>
      <w:r w:rsidDel="00000000" w:rsidR="00000000" w:rsidRPr="00000000">
        <w:rPr>
          <w:rtl w:val="0"/>
        </w:rPr>
        <w:t xml:space="preserve">Les scientifiques de NETCARE ont été à bord du brise-glace de recherche </w:t>
      </w:r>
      <w:r w:rsidDel="00000000" w:rsidR="00000000" w:rsidRPr="00000000">
        <w:rPr>
          <w:i w:val="1"/>
          <w:rtl w:val="0"/>
        </w:rPr>
        <w:t xml:space="preserve">NGCC Amundsen</w:t>
      </w:r>
      <w:r w:rsidDel="00000000" w:rsidR="00000000" w:rsidRPr="00000000">
        <w:rPr>
          <w:rtl w:val="0"/>
        </w:rPr>
        <w:t xml:space="preserve"> pour étudier la composition de l’océan et de l’atmosphère au travers de l’Arctique canadien en 2016. Les scientifiques de NETCARE ont été à bord du bateau du 14 juillet au 25 août, navigant d’Iqaluit à Kugluktuk, avec un changement de personnel le 27 juillet à Qikiqtarjuaq.</w:t>
      </w:r>
    </w:p>
    <w:p w:rsidR="00000000" w:rsidDel="00000000" w:rsidP="00000000" w:rsidRDefault="00000000" w:rsidRPr="00000000" w14:paraId="00000021">
      <w:pPr>
        <w:widowControl w:val="0"/>
        <w:spacing w:after="200" w:line="276" w:lineRule="auto"/>
        <w:contextualSpacing w:val="0"/>
        <w:rPr/>
      </w:pPr>
      <w:r w:rsidDel="00000000" w:rsidR="00000000" w:rsidRPr="00000000">
        <w:rPr>
          <w:rtl w:val="0"/>
        </w:rPr>
        <w:t xml:space="preserve"> </w:t>
      </w:r>
    </w:p>
    <w:p w:rsidR="00000000" w:rsidDel="00000000" w:rsidP="00000000" w:rsidRDefault="00000000" w:rsidRPr="00000000" w14:paraId="00000022">
      <w:pPr>
        <w:pStyle w:val="Heading1"/>
        <w:keepNext w:val="1"/>
        <w:keepLines w:val="1"/>
        <w:widowControl w:val="1"/>
        <w:pBdr>
          <w:top w:space="0" w:sz="0" w:val="nil"/>
          <w:left w:space="0" w:sz="0" w:val="nil"/>
          <w:bottom w:space="0" w:sz="0" w:val="nil"/>
          <w:right w:space="0" w:sz="0" w:val="nil"/>
          <w:between w:space="0" w:sz="0" w:val="nil"/>
        </w:pBdr>
        <w:shd w:fill="auto" w:val="clear"/>
        <w:spacing w:after="20" w:before="20" w:line="276" w:lineRule="auto"/>
        <w:ind w:left="0" w:right="0" w:firstLine="0"/>
        <w:contextualSpacing w:val="0"/>
        <w:jc w:val="left"/>
        <w:rPr/>
      </w:pPr>
      <w:bookmarkStart w:colFirst="0" w:colLast="0" w:name="_rfjzr6qza0d0" w:id="4"/>
      <w:bookmarkEnd w:id="4"/>
      <w:r w:rsidDel="00000000" w:rsidR="00000000" w:rsidRPr="00000000">
        <w:rPr>
          <w:rtl w:val="0"/>
        </w:rPr>
        <w:t xml:space="preserve">Institutions impliquées</w:t>
      </w:r>
    </w:p>
    <w:p w:rsidR="00000000" w:rsidDel="00000000" w:rsidP="00000000" w:rsidRDefault="00000000" w:rsidRPr="00000000" w14:paraId="00000023">
      <w:pPr>
        <w:widowControl w:val="0"/>
        <w:spacing w:after="0" w:line="276" w:lineRule="auto"/>
        <w:ind w:left="1080" w:hanging="360"/>
        <w:contextualSpacing w:val="0"/>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Université de Toronto</w:t>
      </w:r>
    </w:p>
    <w:p w:rsidR="00000000" w:rsidDel="00000000" w:rsidP="00000000" w:rsidRDefault="00000000" w:rsidRPr="00000000" w14:paraId="00000024">
      <w:pPr>
        <w:widowControl w:val="0"/>
        <w:spacing w:after="0" w:line="276" w:lineRule="auto"/>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Université de Colombie Britannique</w:t>
      </w:r>
    </w:p>
    <w:p w:rsidR="00000000" w:rsidDel="00000000" w:rsidP="00000000" w:rsidRDefault="00000000" w:rsidRPr="00000000" w14:paraId="00000025">
      <w:pPr>
        <w:widowControl w:val="0"/>
        <w:spacing w:after="0" w:line="276" w:lineRule="auto"/>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Université de Calgary</w:t>
      </w:r>
    </w:p>
    <w:p w:rsidR="00000000" w:rsidDel="00000000" w:rsidP="00000000" w:rsidRDefault="00000000" w:rsidRPr="00000000" w14:paraId="00000026">
      <w:pPr>
        <w:widowControl w:val="0"/>
        <w:spacing w:after="0" w:line="276" w:lineRule="auto"/>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Environnement et Changement climatique Canada</w:t>
      </w:r>
    </w:p>
    <w:p w:rsidR="00000000" w:rsidDel="00000000" w:rsidP="00000000" w:rsidRDefault="00000000" w:rsidRPr="00000000" w14:paraId="00000027">
      <w:pPr>
        <w:widowControl w:val="0"/>
        <w:spacing w:after="0" w:line="276" w:lineRule="auto"/>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Université Dalhousie</w:t>
      </w:r>
    </w:p>
    <w:p w:rsidR="00000000" w:rsidDel="00000000" w:rsidP="00000000" w:rsidRDefault="00000000" w:rsidRPr="00000000" w14:paraId="00000028">
      <w:pPr>
        <w:widowControl w:val="0"/>
        <w:spacing w:after="200" w:line="276" w:lineRule="auto"/>
        <w:ind w:left="360" w:firstLine="0"/>
        <w:contextualSpacing w:val="0"/>
        <w:rPr>
          <w:i w:val="1"/>
        </w:rPr>
      </w:pPr>
      <w:r w:rsidDel="00000000" w:rsidR="00000000" w:rsidRPr="00000000">
        <w:rPr>
          <w:i w:val="1"/>
          <w:rtl w:val="0"/>
        </w:rPr>
        <w:t xml:space="preserve"> </w:t>
      </w:r>
    </w:p>
    <w:p w:rsidR="00000000" w:rsidDel="00000000" w:rsidP="00000000" w:rsidRDefault="00000000" w:rsidRPr="00000000" w14:paraId="00000029">
      <w:pPr>
        <w:pStyle w:val="Heading1"/>
        <w:keepNext w:val="1"/>
        <w:keepLines w:val="1"/>
        <w:widowControl w:val="1"/>
        <w:pBdr>
          <w:top w:space="0" w:sz="0" w:val="nil"/>
          <w:left w:space="0" w:sz="0" w:val="nil"/>
          <w:bottom w:space="0" w:sz="0" w:val="nil"/>
          <w:right w:space="0" w:sz="0" w:val="nil"/>
          <w:between w:space="0" w:sz="0" w:val="nil"/>
        </w:pBdr>
        <w:shd w:fill="auto" w:val="clear"/>
        <w:spacing w:after="20" w:before="20" w:line="276" w:lineRule="auto"/>
        <w:ind w:left="0" w:right="0" w:firstLine="0"/>
        <w:contextualSpacing w:val="0"/>
        <w:jc w:val="left"/>
        <w:rPr/>
      </w:pPr>
      <w:bookmarkStart w:colFirst="0" w:colLast="0" w:name="_6pu2krmc7yd5" w:id="5"/>
      <w:bookmarkEnd w:id="5"/>
      <w:r w:rsidDel="00000000" w:rsidR="00000000" w:rsidRPr="00000000">
        <w:rPr>
          <w:rtl w:val="0"/>
        </w:rPr>
        <w:t xml:space="preserve">Ensembles de données</w:t>
      </w:r>
    </w:p>
    <w:p w:rsidR="00000000" w:rsidDel="00000000" w:rsidP="00000000" w:rsidRDefault="00000000" w:rsidRPr="00000000" w14:paraId="0000002A">
      <w:pPr>
        <w:widowControl w:val="0"/>
        <w:spacing w:after="0" w:line="276" w:lineRule="auto"/>
        <w:ind w:left="1080" w:hanging="360"/>
        <w:contextualSpacing w:val="0"/>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Phase gazeuse des espèces chimiques dans l’atmosphère</w:t>
      </w:r>
    </w:p>
    <w:p w:rsidR="00000000" w:rsidDel="00000000" w:rsidP="00000000" w:rsidRDefault="00000000" w:rsidRPr="00000000" w14:paraId="0000002B">
      <w:pPr>
        <w:widowControl w:val="0"/>
        <w:spacing w:after="0" w:line="276" w:lineRule="auto"/>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Taille et densité des particules d’aérosols atmosphériques</w:t>
      </w:r>
    </w:p>
    <w:p w:rsidR="00000000" w:rsidDel="00000000" w:rsidP="00000000" w:rsidRDefault="00000000" w:rsidRPr="00000000" w14:paraId="0000002C">
      <w:pPr>
        <w:widowControl w:val="0"/>
        <w:spacing w:after="0" w:line="276" w:lineRule="auto"/>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Composition des particules d’aérosols atmosphériques</w:t>
      </w:r>
    </w:p>
    <w:p w:rsidR="00000000" w:rsidDel="00000000" w:rsidP="00000000" w:rsidRDefault="00000000" w:rsidRPr="00000000" w14:paraId="0000002D">
      <w:pPr>
        <w:widowControl w:val="0"/>
        <w:spacing w:after="0" w:line="276" w:lineRule="auto"/>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Nombre de particules formant les nuages de glace</w:t>
      </w:r>
      <w:r w:rsidDel="00000000" w:rsidR="00000000" w:rsidRPr="00000000">
        <w:rPr>
          <w:rtl w:val="0"/>
        </w:rPr>
      </w:r>
    </w:p>
    <w:p w:rsidR="00000000" w:rsidDel="00000000" w:rsidP="00000000" w:rsidRDefault="00000000" w:rsidRPr="00000000" w14:paraId="0000002E">
      <w:pPr>
        <w:widowControl w:val="0"/>
        <w:spacing w:after="0" w:line="276" w:lineRule="auto"/>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Informations sur la position du bateau </w:t>
      </w:r>
    </w:p>
    <w:p w:rsidR="00000000" w:rsidDel="00000000" w:rsidP="00000000" w:rsidRDefault="00000000" w:rsidRPr="00000000" w14:paraId="0000002F">
      <w:pPr>
        <w:widowControl w:val="0"/>
        <w:spacing w:after="200" w:line="276" w:lineRule="auto"/>
        <w:contextualSpacing w:val="0"/>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 w:before="20" w:lineRule="auto"/>
    </w:pPr>
    <w:rPr>
      <w:rFonts w:ascii="Calibri" w:cs="Calibri" w:eastAsia="Calibri" w:hAnsi="Calibri"/>
      <w:b w:val="1"/>
      <w:i w:val="1"/>
      <w:sz w:val="28"/>
      <w:szCs w:val="28"/>
    </w:rPr>
  </w:style>
  <w:style w:type="paragraph" w:styleId="Heading2">
    <w:name w:val="heading 2"/>
    <w:basedOn w:val="Normal"/>
    <w:next w:val="Normal"/>
    <w:pPr>
      <w:keepNext w:val="1"/>
      <w:keepLines w:val="1"/>
      <w:spacing w:after="200" w:lineRule="auto"/>
    </w:pPr>
    <w:rPr>
      <w:rFonts w:ascii="Calibri" w:cs="Calibri" w:eastAsia="Calibri" w:hAnsi="Calibri"/>
      <w:b w:val="1"/>
      <w:sz w:val="24"/>
      <w:szCs w:val="24"/>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pPr>
    <w:rPr>
      <w:rFonts w:ascii="Calibri" w:cs="Calibri" w:eastAsia="Calibri" w:hAnsi="Calibri"/>
      <w:i w:val="1"/>
      <w:color w:val="999999"/>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before="200" w:lineRule="auto"/>
    </w:pPr>
    <w:rPr>
      <w:rFonts w:ascii="Calibri" w:cs="Calibri" w:eastAsia="Calibri" w:hAnsi="Calibri"/>
      <w:b w:val="1"/>
      <w:sz w:val="28"/>
      <w:szCs w:val="28"/>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