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60E23" w14:textId="3427FA1F" w:rsidR="009C3883" w:rsidRPr="00263EE4" w:rsidRDefault="00263EE4" w:rsidP="002A0EF2">
      <w:pPr>
        <w:spacing w:after="120" w:line="240" w:lineRule="auto"/>
        <w:rPr>
          <w:b/>
          <w:bCs/>
          <w:lang w:val="fr-CA"/>
        </w:rPr>
      </w:pPr>
      <w:r w:rsidRPr="00263EE4">
        <w:rPr>
          <w:b/>
          <w:bCs/>
          <w:lang w:val="fr-CA"/>
        </w:rPr>
        <w:t>Bulletin des tendances et des variatio</w:t>
      </w:r>
      <w:r>
        <w:rPr>
          <w:b/>
          <w:bCs/>
          <w:lang w:val="fr-CA"/>
        </w:rPr>
        <w:t xml:space="preserve">ns climatiques </w:t>
      </w:r>
      <w:r w:rsidR="001E3C8E" w:rsidRPr="00263EE4">
        <w:rPr>
          <w:b/>
          <w:bCs/>
          <w:lang w:val="fr-CA"/>
        </w:rPr>
        <w:t>–</w:t>
      </w:r>
      <w:r w:rsidR="0085344A" w:rsidRPr="00263EE4">
        <w:rPr>
          <w:b/>
          <w:bCs/>
          <w:lang w:val="fr-CA"/>
        </w:rPr>
        <w:t xml:space="preserve"> </w:t>
      </w:r>
      <w:r>
        <w:rPr>
          <w:b/>
          <w:bCs/>
          <w:lang w:val="fr-CA"/>
        </w:rPr>
        <w:t>Printemps </w:t>
      </w:r>
      <w:r w:rsidR="0003061E" w:rsidRPr="00263EE4">
        <w:rPr>
          <w:b/>
          <w:bCs/>
          <w:lang w:val="fr-CA"/>
        </w:rPr>
        <w:t>201</w:t>
      </w:r>
      <w:r w:rsidR="001D56C0" w:rsidRPr="00263EE4">
        <w:rPr>
          <w:b/>
          <w:bCs/>
          <w:lang w:val="fr-CA"/>
        </w:rPr>
        <w:t>9</w:t>
      </w:r>
    </w:p>
    <w:p w14:paraId="4B5934C6" w14:textId="6DB666D9" w:rsidR="009C3883" w:rsidRDefault="00263EE4" w:rsidP="002A0EF2">
      <w:pPr>
        <w:spacing w:after="120" w:line="240" w:lineRule="auto"/>
        <w:rPr>
          <w:lang w:val="fr-CA"/>
        </w:rPr>
      </w:pPr>
      <w:r w:rsidRPr="00263EE4">
        <w:rPr>
          <w:lang w:val="fr-CA"/>
        </w:rPr>
        <w:t>Le présent bulletin résume les données climatiques récentes et les présente dans un contexte historique</w:t>
      </w:r>
      <w:r w:rsidR="009C3883" w:rsidRPr="00263EE4">
        <w:rPr>
          <w:lang w:val="fr-CA"/>
        </w:rPr>
        <w:t xml:space="preserve">. </w:t>
      </w:r>
      <w:r w:rsidRPr="00263EE4">
        <w:rPr>
          <w:lang w:val="fr-CA"/>
        </w:rPr>
        <w:t xml:space="preserve">On y examine d’abord la température moyenne à l’échelle nationale pour la saison, puis on y souligne les données intéressantes </w:t>
      </w:r>
      <w:r>
        <w:rPr>
          <w:lang w:val="fr-CA"/>
        </w:rPr>
        <w:t>sur les températures régionales</w:t>
      </w:r>
      <w:r w:rsidR="00E177E0" w:rsidRPr="00263EE4">
        <w:rPr>
          <w:lang w:val="fr-CA"/>
        </w:rPr>
        <w:t>.</w:t>
      </w:r>
    </w:p>
    <w:p w14:paraId="0066DDDC" w14:textId="449D8BD1" w:rsidR="00263EE4" w:rsidRDefault="00263EE4" w:rsidP="002A0EF2">
      <w:pPr>
        <w:spacing w:after="120" w:line="240" w:lineRule="auto"/>
        <w:rPr>
          <w:lang w:val="fr-CA"/>
        </w:rPr>
      </w:pPr>
      <w:r w:rsidRPr="00263EE4">
        <w:rPr>
          <w:lang w:val="fr-CA"/>
        </w:rPr>
        <w:t>La technologie de surveillance des précipitations a évolué au cours de la dernière décennie et Environnement et Changement climatique Canada (ECCC) et ses partenaires ont opéré une transition, passant des observations manuelles à des capteurs automatiques de précipitations.</w:t>
      </w:r>
      <w:r>
        <w:rPr>
          <w:lang w:val="fr-CA"/>
        </w:rPr>
        <w:t xml:space="preserve"> </w:t>
      </w:r>
      <w:r w:rsidRPr="00263EE4">
        <w:rPr>
          <w:lang w:val="fr-CA"/>
        </w:rPr>
        <w:t>Il faut intégrer beaucoup de données pour lier les observations actuelles sur les précipitations aux observations manuelles antérieures à long terme.</w:t>
      </w:r>
      <w:r>
        <w:rPr>
          <w:lang w:val="fr-CA"/>
        </w:rPr>
        <w:t xml:space="preserve"> </w:t>
      </w:r>
      <w:r w:rsidRPr="00263EE4">
        <w:rPr>
          <w:lang w:val="fr-CA"/>
        </w:rPr>
        <w:t>La mise à jour des tendances et variations ajustées des précipitations antérieures et la présentation de rapports sur ces tendances et variations seront interrompues pendant le rapprochement des données abondantes et reprendront par la suite.</w:t>
      </w:r>
      <w:r>
        <w:rPr>
          <w:lang w:val="fr-CA"/>
        </w:rPr>
        <w:t xml:space="preserve"> </w:t>
      </w:r>
      <w:r w:rsidRPr="00263EE4">
        <w:rPr>
          <w:lang w:val="fr-CA"/>
        </w:rPr>
        <w:t>ECCC demeure déterminé à fournir des données crédibles sur le climat pour éclairer la prise de décisions en matière d’adaptation, tout en veillant à ce que le rapprochement nécessaire des données s’effectue à mesure que la technologie de surveillance évolue.</w:t>
      </w:r>
    </w:p>
    <w:p w14:paraId="18FF454B" w14:textId="25B05528" w:rsidR="009C3883" w:rsidRPr="00263EE4" w:rsidRDefault="00263EE4" w:rsidP="002A0EF2">
      <w:pPr>
        <w:spacing w:after="120" w:line="240" w:lineRule="auto"/>
        <w:rPr>
          <w:b/>
          <w:bCs/>
          <w:lang w:val="fr-CA"/>
        </w:rPr>
      </w:pPr>
      <w:r w:rsidRPr="00263EE4">
        <w:rPr>
          <w:b/>
          <w:bCs/>
          <w:lang w:val="fr-CA"/>
        </w:rPr>
        <w:t>Tempé</w:t>
      </w:r>
      <w:r w:rsidR="009C3883" w:rsidRPr="00263EE4">
        <w:rPr>
          <w:b/>
          <w:bCs/>
          <w:lang w:val="fr-CA"/>
        </w:rPr>
        <w:t>rature</w:t>
      </w:r>
      <w:r w:rsidRPr="00263EE4">
        <w:rPr>
          <w:b/>
          <w:bCs/>
          <w:lang w:val="fr-CA"/>
        </w:rPr>
        <w:t xml:space="preserve"> nationale</w:t>
      </w:r>
    </w:p>
    <w:p w14:paraId="44B318B3" w14:textId="37771A91" w:rsidR="00E86FA8" w:rsidRDefault="00263EE4" w:rsidP="002A0EF2">
      <w:pPr>
        <w:spacing w:after="120" w:line="240" w:lineRule="auto"/>
        <w:rPr>
          <w:lang w:val="fr-CA"/>
        </w:rPr>
      </w:pPr>
      <w:r w:rsidRPr="00263EE4">
        <w:rPr>
          <w:lang w:val="fr-CA"/>
        </w:rPr>
        <w:t xml:space="preserve">Au printemps (mars-mai) </w:t>
      </w:r>
      <w:r w:rsidR="00F2238E">
        <w:rPr>
          <w:lang w:val="fr-CA"/>
        </w:rPr>
        <w:t>2019</w:t>
      </w:r>
      <w:r w:rsidRPr="00263EE4">
        <w:rPr>
          <w:lang w:val="fr-CA"/>
        </w:rPr>
        <w:t>, la température moyenne n</w:t>
      </w:r>
      <w:r w:rsidR="00F2238E">
        <w:rPr>
          <w:lang w:val="fr-CA"/>
        </w:rPr>
        <w:t>ationale a été supérieure de 1,6 </w:t>
      </w:r>
      <w:r w:rsidRPr="00263EE4">
        <w:rPr>
          <w:lang w:val="fr-CA"/>
        </w:rPr>
        <w:t>°C à la moyenne de référence (</w:t>
      </w:r>
      <w:r w:rsidR="00F2238E">
        <w:rPr>
          <w:lang w:val="fr-CA"/>
        </w:rPr>
        <w:t>c.</w:t>
      </w:r>
      <w:r w:rsidR="00F2238E">
        <w:rPr>
          <w:lang w:val="fr-CA"/>
        </w:rPr>
        <w:noBreakHyphen/>
        <w:t xml:space="preserve">à-d. </w:t>
      </w:r>
      <w:r w:rsidRPr="00263EE4">
        <w:rPr>
          <w:lang w:val="fr-CA"/>
        </w:rPr>
        <w:t>la moyenne pour la période de référence</w:t>
      </w:r>
      <w:r w:rsidR="00CD2D53">
        <w:rPr>
          <w:lang w:val="fr-CA"/>
        </w:rPr>
        <w:t> </w:t>
      </w:r>
      <w:r w:rsidRPr="00263EE4">
        <w:rPr>
          <w:lang w:val="fr-CA"/>
        </w:rPr>
        <w:t>1961</w:t>
      </w:r>
      <w:r w:rsidR="00470BD5">
        <w:rPr>
          <w:lang w:val="fr-CA"/>
        </w:rPr>
        <w:noBreakHyphen/>
      </w:r>
      <w:r w:rsidRPr="00263EE4">
        <w:rPr>
          <w:lang w:val="fr-CA"/>
        </w:rPr>
        <w:t>1990) selon les donnée</w:t>
      </w:r>
      <w:r w:rsidR="00F2238E">
        <w:rPr>
          <w:lang w:val="fr-CA"/>
        </w:rPr>
        <w:t>s préliminaires; il s’agit du 13</w:t>
      </w:r>
      <w:r w:rsidRPr="00F2238E">
        <w:rPr>
          <w:vertAlign w:val="superscript"/>
          <w:lang w:val="fr-CA"/>
        </w:rPr>
        <w:t>e</w:t>
      </w:r>
      <w:r w:rsidR="00F2238E">
        <w:rPr>
          <w:lang w:val="fr-CA"/>
        </w:rPr>
        <w:t> </w:t>
      </w:r>
      <w:r w:rsidRPr="00263EE4">
        <w:rPr>
          <w:lang w:val="fr-CA"/>
        </w:rPr>
        <w:t>printemps le plus chaud depuis le début des relevés de températures à l’échelle du pays en 1948</w:t>
      </w:r>
      <w:r w:rsidR="00F2238E">
        <w:rPr>
          <w:lang w:val="fr-CA"/>
        </w:rPr>
        <w:t xml:space="preserve">. </w:t>
      </w:r>
      <w:r w:rsidR="00F2238E" w:rsidRPr="00F2238E">
        <w:rPr>
          <w:lang w:val="fr-CA"/>
        </w:rPr>
        <w:t>Le printemps le plus chaud a été observé en 2010, alors que la température moyenne nationale a dépassé de 4,0</w:t>
      </w:r>
      <w:r w:rsidR="00F2238E">
        <w:rPr>
          <w:lang w:val="fr-CA"/>
        </w:rPr>
        <w:t> </w:t>
      </w:r>
      <w:r w:rsidR="00F2238E" w:rsidRPr="00F2238E">
        <w:rPr>
          <w:lang w:val="fr-CA"/>
        </w:rPr>
        <w:t>°C la moyenne de référence</w:t>
      </w:r>
      <w:r w:rsidR="00F2238E">
        <w:rPr>
          <w:lang w:val="fr-CA"/>
        </w:rPr>
        <w:t xml:space="preserve">. </w:t>
      </w:r>
      <w:r w:rsidR="00F2238E" w:rsidRPr="00F2238E">
        <w:rPr>
          <w:lang w:val="fr-CA"/>
        </w:rPr>
        <w:t>Le printemps le plus froid a été observé en 1974, alors que la température moyenne nationale était inférieure de 2,0</w:t>
      </w:r>
      <w:r w:rsidR="00F2238E">
        <w:rPr>
          <w:lang w:val="fr-CA"/>
        </w:rPr>
        <w:t> </w:t>
      </w:r>
      <w:r w:rsidR="00F2238E" w:rsidRPr="00F2238E">
        <w:rPr>
          <w:lang w:val="fr-CA"/>
        </w:rPr>
        <w:t>°C à la moyenne de référence</w:t>
      </w:r>
      <w:r w:rsidR="00F2238E">
        <w:rPr>
          <w:lang w:val="fr-CA"/>
        </w:rPr>
        <w:t xml:space="preserve">. </w:t>
      </w:r>
      <w:r w:rsidR="00F2238E" w:rsidRPr="00F2238E">
        <w:rPr>
          <w:lang w:val="fr-CA"/>
        </w:rPr>
        <w:t>La carte des écarts de température (ci-dessous) montre que les températures ont dépassé la moyenne de référence au Yuko</w:t>
      </w:r>
      <w:r w:rsidR="00F2238E">
        <w:rPr>
          <w:lang w:val="fr-CA"/>
        </w:rPr>
        <w:t>n, dans les Territoires du Nord</w:t>
      </w:r>
      <w:r w:rsidR="00F2238E">
        <w:rPr>
          <w:lang w:val="fr-CA"/>
        </w:rPr>
        <w:noBreakHyphen/>
      </w:r>
      <w:r w:rsidR="00F2238E" w:rsidRPr="00F2238E">
        <w:rPr>
          <w:lang w:val="fr-CA"/>
        </w:rPr>
        <w:t xml:space="preserve">Ouest, au Nunavut, dans </w:t>
      </w:r>
      <w:r w:rsidR="00F2238E">
        <w:rPr>
          <w:lang w:val="fr-CA"/>
        </w:rPr>
        <w:t>la majeure partie</w:t>
      </w:r>
      <w:r w:rsidR="00E86FA8">
        <w:rPr>
          <w:lang w:val="fr-CA"/>
        </w:rPr>
        <w:t xml:space="preserve"> de la Colombie-Britannique, ainsi que dans le nord de l’Alberta, de la </w:t>
      </w:r>
      <w:r w:rsidR="00E86FA8" w:rsidRPr="00F2238E">
        <w:rPr>
          <w:lang w:val="fr-CA"/>
        </w:rPr>
        <w:t xml:space="preserve">Saskatchewan, </w:t>
      </w:r>
      <w:r w:rsidR="00E86FA8">
        <w:rPr>
          <w:lang w:val="fr-CA"/>
        </w:rPr>
        <w:t>du</w:t>
      </w:r>
      <w:r w:rsidR="00E86FA8" w:rsidRPr="00F2238E">
        <w:rPr>
          <w:lang w:val="fr-CA"/>
        </w:rPr>
        <w:t xml:space="preserve"> Manitoba, </w:t>
      </w:r>
      <w:r w:rsidR="00E86FA8">
        <w:rPr>
          <w:lang w:val="fr-CA"/>
        </w:rPr>
        <w:t>de l’</w:t>
      </w:r>
      <w:r w:rsidR="00E86FA8" w:rsidRPr="00F2238E">
        <w:rPr>
          <w:lang w:val="fr-CA"/>
        </w:rPr>
        <w:t xml:space="preserve">Ontario, </w:t>
      </w:r>
      <w:r w:rsidR="00E86FA8">
        <w:rPr>
          <w:lang w:val="fr-CA"/>
        </w:rPr>
        <w:t>du Québec et de</w:t>
      </w:r>
      <w:r w:rsidR="00E86FA8" w:rsidRPr="00F2238E">
        <w:rPr>
          <w:lang w:val="fr-CA"/>
        </w:rPr>
        <w:t xml:space="preserve"> Terre-Neuve</w:t>
      </w:r>
      <w:r w:rsidR="00E86FA8">
        <w:rPr>
          <w:lang w:val="fr-CA"/>
        </w:rPr>
        <w:t xml:space="preserve">-et-Labrador. </w:t>
      </w:r>
      <w:r w:rsidR="00E86FA8" w:rsidRPr="00E86FA8">
        <w:rPr>
          <w:lang w:val="fr-CA"/>
        </w:rPr>
        <w:t xml:space="preserve">Pendant la même période, </w:t>
      </w:r>
      <w:r w:rsidR="00E86FA8">
        <w:rPr>
          <w:lang w:val="fr-CA"/>
        </w:rPr>
        <w:t>le</w:t>
      </w:r>
      <w:r w:rsidR="00E86FA8" w:rsidRPr="00E86FA8">
        <w:rPr>
          <w:lang w:val="fr-CA"/>
        </w:rPr>
        <w:t xml:space="preserve"> sud de l’Alberta, de la Saskatchewan, du Manitoba, du Québec et </w:t>
      </w:r>
      <w:r w:rsidR="00E86FA8">
        <w:rPr>
          <w:lang w:val="fr-CA"/>
        </w:rPr>
        <w:t>la majeure partie de l’Ontario et du Canada atlantique</w:t>
      </w:r>
      <w:r w:rsidR="00E86FA8" w:rsidRPr="00E86FA8">
        <w:rPr>
          <w:lang w:val="fr-CA"/>
        </w:rPr>
        <w:t xml:space="preserve"> ont connu des températures </w:t>
      </w:r>
      <w:r w:rsidR="00E86FA8">
        <w:rPr>
          <w:lang w:val="fr-CA"/>
        </w:rPr>
        <w:t>printanières</w:t>
      </w:r>
      <w:r w:rsidR="00E86FA8" w:rsidRPr="00E86FA8">
        <w:rPr>
          <w:lang w:val="fr-CA"/>
        </w:rPr>
        <w:t xml:space="preserve"> inférieures à la moyenne de référence.</w:t>
      </w:r>
      <w:r w:rsidR="00E86FA8">
        <w:rPr>
          <w:lang w:val="fr-CA"/>
        </w:rPr>
        <w:t xml:space="preserve"> </w:t>
      </w:r>
      <w:r w:rsidR="00E86FA8" w:rsidRPr="00E86FA8">
        <w:rPr>
          <w:lang w:val="fr-CA"/>
        </w:rPr>
        <w:t>Les températures printanières se situaient près de la moyenne de référence dans le reste du pays</w:t>
      </w:r>
      <w:r w:rsidR="00E86FA8">
        <w:rPr>
          <w:lang w:val="fr-CA"/>
        </w:rPr>
        <w:t>.</w:t>
      </w:r>
    </w:p>
    <w:p w14:paraId="14C44642" w14:textId="191139D4" w:rsidR="008253AC" w:rsidRPr="00263EE4" w:rsidRDefault="00263EE4" w:rsidP="002A0EF2">
      <w:pPr>
        <w:spacing w:after="120" w:line="240" w:lineRule="auto"/>
        <w:rPr>
          <w:b/>
          <w:bCs/>
          <w:lang w:val="fr-CA"/>
        </w:rPr>
      </w:pPr>
      <w:r w:rsidRPr="00263EE4">
        <w:rPr>
          <w:b/>
          <w:bCs/>
          <w:lang w:val="fr-CA"/>
        </w:rPr>
        <w:t xml:space="preserve">Écarts de la température par rapport à la moyenne de 1961 à 1990 </w:t>
      </w:r>
      <w:r w:rsidR="009C3883" w:rsidRPr="00263EE4">
        <w:rPr>
          <w:b/>
          <w:bCs/>
          <w:lang w:val="fr-CA"/>
        </w:rPr>
        <w:t xml:space="preserve">– </w:t>
      </w:r>
      <w:r>
        <w:rPr>
          <w:b/>
          <w:bCs/>
          <w:lang w:val="fr-CA"/>
        </w:rPr>
        <w:t>Printemps </w:t>
      </w:r>
      <w:r w:rsidR="00D467D8" w:rsidRPr="00263EE4">
        <w:rPr>
          <w:b/>
          <w:bCs/>
          <w:lang w:val="fr-CA"/>
        </w:rPr>
        <w:t>201</w:t>
      </w:r>
      <w:r w:rsidR="000176EA" w:rsidRPr="00263EE4">
        <w:rPr>
          <w:b/>
          <w:bCs/>
          <w:lang w:val="fr-CA"/>
        </w:rPr>
        <w:t>9</w:t>
      </w:r>
      <w:r w:rsidR="00FF757A" w:rsidRPr="00263EE4">
        <w:rPr>
          <w:b/>
          <w:bCs/>
          <w:lang w:val="fr-CA"/>
        </w:rPr>
        <w:t xml:space="preserve"> </w:t>
      </w:r>
      <w:r w:rsidR="00C0330F">
        <w:rPr>
          <w:b/>
          <w:bCs/>
          <w:noProof/>
          <w:lang w:val="en-CA" w:eastAsia="en-CA"/>
        </w:rPr>
        <w:drawing>
          <wp:inline distT="0" distB="0" distL="0" distR="0" wp14:anchorId="7CB35837" wp14:editId="19D84664">
            <wp:extent cx="3343275" cy="2266950"/>
            <wp:effectExtent l="0" t="0" r="9525" b="0"/>
            <wp:docPr id="3" name="Picture 3" descr="C:\Users\leungk\AppData\Local\Microsoft\Windows\INetCache\Content.Word\A2_TmapF_2019_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ungk\AppData\Local\Microsoft\Windows\INetCache\Content.Word\A2_TmapF_2019_spr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2266950"/>
                    </a:xfrm>
                    <a:prstGeom prst="rect">
                      <a:avLst/>
                    </a:prstGeom>
                    <a:noFill/>
                    <a:ln>
                      <a:noFill/>
                    </a:ln>
                  </pic:spPr>
                </pic:pic>
              </a:graphicData>
            </a:graphic>
          </wp:inline>
        </w:drawing>
      </w:r>
    </w:p>
    <w:p w14:paraId="48C807B3" w14:textId="4D2EF9E1" w:rsidR="00D423F7" w:rsidRPr="00D423F7" w:rsidRDefault="00D423F7" w:rsidP="002A0EF2">
      <w:pPr>
        <w:spacing w:after="120" w:line="240" w:lineRule="auto"/>
      </w:pPr>
    </w:p>
    <w:p w14:paraId="2CAACF3D" w14:textId="78863152" w:rsidR="00470BD5" w:rsidRPr="00470BD5" w:rsidRDefault="00470BD5" w:rsidP="002A0EF2">
      <w:pPr>
        <w:spacing w:after="120" w:line="240" w:lineRule="auto"/>
        <w:rPr>
          <w:lang w:val="fr-CA"/>
        </w:rPr>
      </w:pPr>
      <w:r w:rsidRPr="00470BD5">
        <w:rPr>
          <w:lang w:val="fr-CA"/>
        </w:rPr>
        <w:lastRenderedPageBreak/>
        <w:t xml:space="preserve">Le graphique chronologique (ci-dessous) montre que, lorsqu’elles sont réparties sur l’ensemble du pays, les températures </w:t>
      </w:r>
      <w:r>
        <w:rPr>
          <w:lang w:val="fr-CA"/>
        </w:rPr>
        <w:t>printanières</w:t>
      </w:r>
      <w:r w:rsidRPr="00470BD5">
        <w:rPr>
          <w:lang w:val="fr-CA"/>
        </w:rPr>
        <w:t xml:space="preserve"> ont fluctué d’une année à l’au</w:t>
      </w:r>
      <w:r>
        <w:rPr>
          <w:lang w:val="fr-CA"/>
        </w:rPr>
        <w:t>tre pendant la période</w:t>
      </w:r>
      <w:r w:rsidR="00CD2D53">
        <w:rPr>
          <w:lang w:val="fr-CA"/>
        </w:rPr>
        <w:t> </w:t>
      </w:r>
      <w:r>
        <w:rPr>
          <w:lang w:val="fr-CA"/>
        </w:rPr>
        <w:t>1948</w:t>
      </w:r>
      <w:r>
        <w:rPr>
          <w:lang w:val="fr-CA"/>
        </w:rPr>
        <w:noBreakHyphen/>
        <w:t xml:space="preserve">2019. </w:t>
      </w:r>
      <w:r w:rsidRPr="00470BD5">
        <w:rPr>
          <w:lang w:val="fr-CA"/>
        </w:rPr>
        <w:t>La tendance linéaire indique que la moyenne des températures printanières de l’en</w:t>
      </w:r>
      <w:r>
        <w:rPr>
          <w:lang w:val="fr-CA"/>
        </w:rPr>
        <w:t>semble du pays a augmenté de 1,7 °C au cours des 72 </w:t>
      </w:r>
      <w:r w:rsidRPr="00470BD5">
        <w:rPr>
          <w:lang w:val="fr-CA"/>
        </w:rPr>
        <w:t>dernières années.</w:t>
      </w:r>
    </w:p>
    <w:p w14:paraId="68B3E1AB" w14:textId="70F8786C" w:rsidR="00B71D0D" w:rsidRPr="00263EE4" w:rsidRDefault="00263EE4" w:rsidP="002A0EF2">
      <w:pPr>
        <w:spacing w:after="120" w:line="240" w:lineRule="auto"/>
        <w:rPr>
          <w:b/>
          <w:bCs/>
          <w:lang w:val="fr-CA"/>
        </w:rPr>
      </w:pPr>
      <w:r w:rsidRPr="00263EE4">
        <w:rPr>
          <w:b/>
          <w:bCs/>
          <w:lang w:val="fr-CA"/>
        </w:rPr>
        <w:t xml:space="preserve">Écarts des températures nationales </w:t>
      </w:r>
      <w:r>
        <w:rPr>
          <w:b/>
          <w:bCs/>
          <w:lang w:val="fr-CA"/>
        </w:rPr>
        <w:t>printanières</w:t>
      </w:r>
      <w:r w:rsidR="00470BD5">
        <w:rPr>
          <w:b/>
          <w:bCs/>
          <w:lang w:val="fr-CA"/>
        </w:rPr>
        <w:t xml:space="preserve"> et tendance à long terme, 1948</w:t>
      </w:r>
      <w:r w:rsidR="00470BD5">
        <w:rPr>
          <w:b/>
          <w:bCs/>
          <w:lang w:val="fr-CA"/>
        </w:rPr>
        <w:noBreakHyphen/>
      </w:r>
      <w:r w:rsidRPr="00263EE4">
        <w:rPr>
          <w:b/>
          <w:bCs/>
          <w:lang w:val="fr-CA"/>
        </w:rPr>
        <w:t>2019</w:t>
      </w:r>
    </w:p>
    <w:p w14:paraId="57E55CF3" w14:textId="73E44336" w:rsidR="00B71D0D" w:rsidRPr="00B71D0D" w:rsidRDefault="00C046E4" w:rsidP="002A0EF2">
      <w:pPr>
        <w:spacing w:after="120" w:line="240" w:lineRule="auto"/>
        <w:rPr>
          <w:rFonts w:asciiTheme="minorHAnsi" w:eastAsia="Times New Roman" w:hAnsiTheme="minorHAnsi"/>
          <w:snapToGrid w:val="0"/>
          <w:color w:val="000000"/>
          <w:w w:val="0"/>
          <w:u w:color="000000"/>
          <w:bdr w:val="none" w:sz="0" w:space="0" w:color="000000"/>
          <w:shd w:val="clear" w:color="000000" w:fill="000000"/>
          <w:lang w:val="en-CA" w:eastAsia="x-none" w:bidi="x-none"/>
        </w:rPr>
      </w:pPr>
      <w:r>
        <w:rPr>
          <w:noProof/>
          <w:lang w:val="en-CA" w:eastAsia="en-CA"/>
        </w:rPr>
        <w:drawing>
          <wp:inline distT="0" distB="0" distL="0" distR="0" wp14:anchorId="55C99452" wp14:editId="0F6013CC">
            <wp:extent cx="3067050" cy="2162175"/>
            <wp:effectExtent l="0" t="0" r="0" b="9525"/>
            <wp:docPr id="2" name="Picture 2" descr="A3_TGraphF_2019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_TGraphF_2019_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162175"/>
                    </a:xfrm>
                    <a:prstGeom prst="rect">
                      <a:avLst/>
                    </a:prstGeom>
                    <a:noFill/>
                    <a:ln>
                      <a:noFill/>
                    </a:ln>
                  </pic:spPr>
                </pic:pic>
              </a:graphicData>
            </a:graphic>
          </wp:inline>
        </w:drawing>
      </w:r>
    </w:p>
    <w:p w14:paraId="7667D55E" w14:textId="1782B63B" w:rsidR="00263EE4" w:rsidRPr="009A4BBD" w:rsidRDefault="00263EE4" w:rsidP="00532770">
      <w:pPr>
        <w:spacing w:after="120" w:line="240" w:lineRule="auto"/>
        <w:rPr>
          <w:b/>
          <w:bCs/>
          <w:lang w:val="fr-CA"/>
        </w:rPr>
      </w:pPr>
      <w:r w:rsidRPr="009A4BBD">
        <w:rPr>
          <w:b/>
          <w:bCs/>
          <w:lang w:val="fr-CA"/>
        </w:rPr>
        <w:t>Température</w:t>
      </w:r>
      <w:r w:rsidR="009A4BBD">
        <w:rPr>
          <w:b/>
          <w:bCs/>
          <w:lang w:val="fr-CA"/>
        </w:rPr>
        <w:t>s</w:t>
      </w:r>
      <w:r w:rsidRPr="009A4BBD">
        <w:rPr>
          <w:b/>
          <w:bCs/>
          <w:lang w:val="fr-CA"/>
        </w:rPr>
        <w:t xml:space="preserve"> régionale</w:t>
      </w:r>
      <w:r w:rsidR="009A4BBD">
        <w:rPr>
          <w:b/>
          <w:bCs/>
          <w:lang w:val="fr-CA"/>
        </w:rPr>
        <w:t>s</w:t>
      </w:r>
    </w:p>
    <w:p w14:paraId="475E0897" w14:textId="776068AC" w:rsidR="00316A61" w:rsidRPr="004D5590" w:rsidRDefault="009A4BBD" w:rsidP="00532770">
      <w:pPr>
        <w:spacing w:after="120" w:line="240" w:lineRule="auto"/>
        <w:rPr>
          <w:lang w:val="fr-CA"/>
        </w:rPr>
      </w:pPr>
      <w:r w:rsidRPr="009A4BBD">
        <w:rPr>
          <w:lang w:val="fr-CA"/>
        </w:rPr>
        <w:t xml:space="preserve">L’examen des températures </w:t>
      </w:r>
      <w:r>
        <w:rPr>
          <w:lang w:val="fr-CA"/>
        </w:rPr>
        <w:t>printanières moyennes de 2019</w:t>
      </w:r>
      <w:r w:rsidRPr="009A4BBD">
        <w:rPr>
          <w:lang w:val="fr-CA"/>
        </w:rPr>
        <w:t xml:space="preserve"> à l’échelle régionale indique qu’elles ont été parmi les dix plus élevées jamais observées depuis 1948 pour </w:t>
      </w:r>
      <w:r>
        <w:rPr>
          <w:lang w:val="fr-CA"/>
        </w:rPr>
        <w:t>cinq des onze régions climatiques </w:t>
      </w:r>
      <w:r w:rsidRPr="009A4BBD">
        <w:rPr>
          <w:lang w:val="fr-CA"/>
        </w:rPr>
        <w:t>: le Yukon et les montagnes du nord de la Colombie-Britannique (</w:t>
      </w:r>
      <w:r>
        <w:rPr>
          <w:lang w:val="fr-CA"/>
        </w:rPr>
        <w:t>2</w:t>
      </w:r>
      <w:r w:rsidRPr="009A4BBD">
        <w:rPr>
          <w:vertAlign w:val="superscript"/>
          <w:lang w:val="fr-CA"/>
        </w:rPr>
        <w:t>e</w:t>
      </w:r>
      <w:r>
        <w:rPr>
          <w:lang w:val="fr-CA"/>
        </w:rPr>
        <w:t> année la plus chaude à 4</w:t>
      </w:r>
      <w:r w:rsidRPr="009A4BBD">
        <w:rPr>
          <w:lang w:val="fr-CA"/>
        </w:rPr>
        <w:t>,1</w:t>
      </w:r>
      <w:r>
        <w:rPr>
          <w:lang w:val="fr-CA"/>
        </w:rPr>
        <w:t> </w:t>
      </w:r>
      <w:r w:rsidRPr="009A4BBD">
        <w:rPr>
          <w:lang w:val="fr-CA"/>
        </w:rPr>
        <w:t xml:space="preserve">°C au-dessus de la moyenne), </w:t>
      </w:r>
      <w:r>
        <w:rPr>
          <w:lang w:val="fr-CA"/>
        </w:rPr>
        <w:t>le district du Mackenzie (3</w:t>
      </w:r>
      <w:r w:rsidRPr="009A4BBD">
        <w:rPr>
          <w:vertAlign w:val="superscript"/>
          <w:lang w:val="fr-CA"/>
        </w:rPr>
        <w:t>e</w:t>
      </w:r>
      <w:r>
        <w:rPr>
          <w:lang w:val="fr-CA"/>
        </w:rPr>
        <w:t> année la plus chaude à 4,0 </w:t>
      </w:r>
      <w:r w:rsidRPr="009A4BBD">
        <w:rPr>
          <w:lang w:val="fr-CA"/>
        </w:rPr>
        <w:t>°C au-dessus de la mo</w:t>
      </w:r>
      <w:r>
        <w:rPr>
          <w:lang w:val="fr-CA"/>
        </w:rPr>
        <w:t>yenne), la toundra arctique (3</w:t>
      </w:r>
      <w:r w:rsidRPr="009A4BBD">
        <w:rPr>
          <w:vertAlign w:val="superscript"/>
          <w:lang w:val="fr-CA"/>
        </w:rPr>
        <w:t>e</w:t>
      </w:r>
      <w:r>
        <w:rPr>
          <w:lang w:val="fr-CA"/>
        </w:rPr>
        <w:t> </w:t>
      </w:r>
      <w:r w:rsidRPr="009A4BBD">
        <w:rPr>
          <w:lang w:val="fr-CA"/>
        </w:rPr>
        <w:t>année la</w:t>
      </w:r>
      <w:r>
        <w:rPr>
          <w:lang w:val="fr-CA"/>
        </w:rPr>
        <w:t xml:space="preserve"> plus chaude à 3,4 </w:t>
      </w:r>
      <w:r w:rsidRPr="009A4BBD">
        <w:rPr>
          <w:lang w:val="fr-CA"/>
        </w:rPr>
        <w:t>°C au-dessus de la moyenne), la région des montagnes</w:t>
      </w:r>
      <w:r>
        <w:rPr>
          <w:lang w:val="fr-CA"/>
        </w:rPr>
        <w:t xml:space="preserve"> de l’Arctique et des fjords (5</w:t>
      </w:r>
      <w:r w:rsidRPr="009A4BBD">
        <w:rPr>
          <w:vertAlign w:val="superscript"/>
          <w:lang w:val="fr-CA"/>
        </w:rPr>
        <w:t>e</w:t>
      </w:r>
      <w:r>
        <w:rPr>
          <w:lang w:val="fr-CA"/>
        </w:rPr>
        <w:t> année la plus chaude à 3,3 °C au-dessus de la moyenne) et la côte du Pacifique (9</w:t>
      </w:r>
      <w:r w:rsidRPr="009A4BBD">
        <w:rPr>
          <w:vertAlign w:val="superscript"/>
          <w:lang w:val="fr-CA"/>
        </w:rPr>
        <w:t>e</w:t>
      </w:r>
      <w:r>
        <w:rPr>
          <w:lang w:val="fr-CA"/>
        </w:rPr>
        <w:t> </w:t>
      </w:r>
      <w:r w:rsidRPr="009A4BBD">
        <w:rPr>
          <w:lang w:val="fr-CA"/>
        </w:rPr>
        <w:t xml:space="preserve">année la plus chaude à </w:t>
      </w:r>
      <w:r>
        <w:rPr>
          <w:lang w:val="fr-CA"/>
        </w:rPr>
        <w:t>1,4 °C au-dessus de la moyenne)</w:t>
      </w:r>
      <w:r w:rsidRPr="009A4BBD">
        <w:rPr>
          <w:lang w:val="fr-CA"/>
        </w:rPr>
        <w:t>.</w:t>
      </w:r>
      <w:r>
        <w:rPr>
          <w:lang w:val="fr-CA"/>
        </w:rPr>
        <w:t xml:space="preserve"> Une</w:t>
      </w:r>
      <w:r w:rsidRPr="009A4BBD">
        <w:rPr>
          <w:lang w:val="fr-CA"/>
        </w:rPr>
        <w:t xml:space="preserve"> des onze régions climatiques </w:t>
      </w:r>
      <w:r>
        <w:rPr>
          <w:lang w:val="fr-CA"/>
        </w:rPr>
        <w:t>a</w:t>
      </w:r>
      <w:r w:rsidRPr="009A4BBD">
        <w:rPr>
          <w:lang w:val="fr-CA"/>
        </w:rPr>
        <w:t xml:space="preserve"> connu une tempé</w:t>
      </w:r>
      <w:r>
        <w:rPr>
          <w:lang w:val="fr-CA"/>
        </w:rPr>
        <w:t>rature printanière moyenne en 2019</w:t>
      </w:r>
      <w:r w:rsidRPr="009A4BBD">
        <w:rPr>
          <w:lang w:val="fr-CA"/>
        </w:rPr>
        <w:t xml:space="preserve"> qui se classait parmi les dix température</w:t>
      </w:r>
      <w:r>
        <w:rPr>
          <w:lang w:val="fr-CA"/>
        </w:rPr>
        <w:t xml:space="preserve">s les plus basses enregistrées : </w:t>
      </w:r>
      <w:r w:rsidRPr="009A4BBD">
        <w:rPr>
          <w:lang w:val="fr-CA"/>
        </w:rPr>
        <w:t>les Gran</w:t>
      </w:r>
      <w:r>
        <w:rPr>
          <w:lang w:val="fr-CA"/>
        </w:rPr>
        <w:t>ds Lacs et le Saint-Laurent (10</w:t>
      </w:r>
      <w:r w:rsidRPr="009A4BBD">
        <w:rPr>
          <w:vertAlign w:val="superscript"/>
          <w:lang w:val="fr-CA"/>
        </w:rPr>
        <w:t>e</w:t>
      </w:r>
      <w:r>
        <w:rPr>
          <w:lang w:val="fr-CA"/>
        </w:rPr>
        <w:t> </w:t>
      </w:r>
      <w:r w:rsidRPr="009A4BBD">
        <w:rPr>
          <w:lang w:val="fr-CA"/>
        </w:rPr>
        <w:t xml:space="preserve">année la plus </w:t>
      </w:r>
      <w:r>
        <w:rPr>
          <w:lang w:val="fr-CA"/>
        </w:rPr>
        <w:t>froide à 1,1</w:t>
      </w:r>
      <w:r w:rsidR="004D5590">
        <w:rPr>
          <w:lang w:val="fr-CA"/>
        </w:rPr>
        <w:t> </w:t>
      </w:r>
      <w:r w:rsidRPr="009A4BBD">
        <w:rPr>
          <w:lang w:val="fr-CA"/>
        </w:rPr>
        <w:t xml:space="preserve">°C </w:t>
      </w:r>
      <w:r>
        <w:rPr>
          <w:lang w:val="fr-CA"/>
        </w:rPr>
        <w:t>au</w:t>
      </w:r>
      <w:r>
        <w:rPr>
          <w:lang w:val="fr-CA"/>
        </w:rPr>
        <w:noBreakHyphen/>
        <w:t>dessous</w:t>
      </w:r>
      <w:r w:rsidRPr="009A4BBD">
        <w:rPr>
          <w:lang w:val="fr-CA"/>
        </w:rPr>
        <w:t xml:space="preserve"> de la moyenne).</w:t>
      </w:r>
      <w:r w:rsidR="004D5590">
        <w:rPr>
          <w:lang w:val="fr-CA"/>
        </w:rPr>
        <w:t xml:space="preserve"> </w:t>
      </w:r>
      <w:r w:rsidR="004D5590" w:rsidRPr="004D5590">
        <w:rPr>
          <w:lang w:val="fr-CA"/>
        </w:rPr>
        <w:t xml:space="preserve">Les onze régions climatiques affichent toutes des tendances positives pour les températures </w:t>
      </w:r>
      <w:r w:rsidR="004D5590">
        <w:rPr>
          <w:lang w:val="fr-CA"/>
        </w:rPr>
        <w:t>printanières</w:t>
      </w:r>
      <w:bookmarkStart w:id="0" w:name="_GoBack"/>
      <w:bookmarkEnd w:id="0"/>
      <w:r w:rsidR="004D5590" w:rsidRPr="004D5590">
        <w:rPr>
          <w:lang w:val="fr-CA"/>
        </w:rPr>
        <w:t xml:space="preserve"> au cours des 72</w:t>
      </w:r>
      <w:r w:rsidR="00CD2D53">
        <w:rPr>
          <w:lang w:val="fr-CA"/>
        </w:rPr>
        <w:t> </w:t>
      </w:r>
      <w:r w:rsidR="004D5590" w:rsidRPr="004D5590">
        <w:rPr>
          <w:lang w:val="fr-CA"/>
        </w:rPr>
        <w:t>années d’observation</w:t>
      </w:r>
      <w:r w:rsidR="004D5590">
        <w:rPr>
          <w:lang w:val="fr-CA"/>
        </w:rPr>
        <w:t xml:space="preserve">. </w:t>
      </w:r>
      <w:r w:rsidR="004D5590" w:rsidRPr="004D5590">
        <w:rPr>
          <w:lang w:val="fr-CA"/>
        </w:rPr>
        <w:t xml:space="preserve">La tendance la plus forte </w:t>
      </w:r>
      <w:r w:rsidR="004D5590">
        <w:rPr>
          <w:lang w:val="fr-CA"/>
        </w:rPr>
        <w:t>a été</w:t>
      </w:r>
      <w:r w:rsidR="004D5590" w:rsidRPr="004D5590">
        <w:rPr>
          <w:lang w:val="fr-CA"/>
        </w:rPr>
        <w:t xml:space="preserve"> observée dans la région </w:t>
      </w:r>
      <w:r w:rsidR="004D5590">
        <w:rPr>
          <w:lang w:val="fr-CA"/>
        </w:rPr>
        <w:t xml:space="preserve">du Yukon et </w:t>
      </w:r>
      <w:r w:rsidR="004D5590" w:rsidRPr="004D5590">
        <w:rPr>
          <w:lang w:val="fr-CA"/>
        </w:rPr>
        <w:t xml:space="preserve">des montagnes du nord de la Colombie-Britannique </w:t>
      </w:r>
      <w:r w:rsidR="004D5590">
        <w:rPr>
          <w:lang w:val="fr-CA"/>
        </w:rPr>
        <w:t>ainsi que dans la région du district du Mackenzie (+2,8 °C), tandis que la tendance l</w:t>
      </w:r>
      <w:r w:rsidR="004D5590" w:rsidRPr="004D5590">
        <w:rPr>
          <w:lang w:val="fr-CA"/>
        </w:rPr>
        <w:t xml:space="preserve">a plus faible </w:t>
      </w:r>
      <w:r w:rsidR="004D5590">
        <w:rPr>
          <w:lang w:val="fr-CA"/>
        </w:rPr>
        <w:t xml:space="preserve">a été relevée dans la </w:t>
      </w:r>
      <w:r w:rsidR="004D5590" w:rsidRPr="004D5590">
        <w:rPr>
          <w:lang w:val="fr-CA"/>
        </w:rPr>
        <w:t xml:space="preserve">région du Canada atlantique </w:t>
      </w:r>
      <w:r w:rsidR="004D5590">
        <w:rPr>
          <w:lang w:val="fr-CA"/>
        </w:rPr>
        <w:t>(+0,7</w:t>
      </w:r>
      <w:r w:rsidR="00CD2D53">
        <w:rPr>
          <w:lang w:val="fr-CA"/>
        </w:rPr>
        <w:t> </w:t>
      </w:r>
      <w:r w:rsidR="004D5590">
        <w:rPr>
          <w:lang w:val="fr-CA"/>
        </w:rPr>
        <w:t xml:space="preserve">°C). </w:t>
      </w:r>
      <w:r w:rsidR="004D5590" w:rsidRPr="004D5590">
        <w:rPr>
          <w:lang w:val="fr-CA"/>
        </w:rPr>
        <w:t>Il est possible d’obtenir un tableau qui présente les anomalies et les classements des températures régionales et nationales de 1948 à 2019 et un tableau qui résume les tendances et les extrêmes régionaux et nationaux en s’adres</w:t>
      </w:r>
      <w:r w:rsidR="004D5590">
        <w:rPr>
          <w:lang w:val="fr-CA"/>
        </w:rPr>
        <w:t xml:space="preserve">sant à </w:t>
      </w:r>
      <w:hyperlink r:id="rId10" w:history="1">
        <w:r w:rsidR="002674DE" w:rsidRPr="004D5590">
          <w:rPr>
            <w:rStyle w:val="Hyperlink"/>
            <w:lang w:val="fr-CA"/>
          </w:rPr>
          <w:t>ec.btvc-ctvb.ec@canada.ca</w:t>
        </w:r>
      </w:hyperlink>
      <w:r w:rsidR="00611F7F" w:rsidRPr="004D5590">
        <w:rPr>
          <w:lang w:val="fr-CA"/>
        </w:rPr>
        <w:t>.</w:t>
      </w:r>
    </w:p>
    <w:p w14:paraId="25DDAF9E" w14:textId="244DC839" w:rsidR="009C3883" w:rsidRPr="002A0EF2" w:rsidRDefault="00C0330F" w:rsidP="002A0EF2">
      <w:pPr>
        <w:spacing w:after="120" w:line="240" w:lineRule="auto"/>
      </w:pPr>
      <w:r w:rsidRPr="002F1E9E">
        <w:rPr>
          <w:noProof/>
          <w:lang w:val="en-CA" w:eastAsia="en-CA"/>
        </w:rPr>
        <w:lastRenderedPageBreak/>
        <w:drawing>
          <wp:inline distT="0" distB="0" distL="0" distR="0" wp14:anchorId="35BD13DC" wp14:editId="57070880">
            <wp:extent cx="3228975" cy="2457750"/>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2835" cy="2460688"/>
                    </a:xfrm>
                    <a:prstGeom prst="rect">
                      <a:avLst/>
                    </a:prstGeom>
                  </pic:spPr>
                </pic:pic>
              </a:graphicData>
            </a:graphic>
          </wp:inline>
        </w:drawing>
      </w:r>
    </w:p>
    <w:sectPr w:rsidR="009C3883" w:rsidRPr="002A0EF2" w:rsidSect="005C472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110F" w14:textId="77777777" w:rsidR="003A252C" w:rsidRDefault="003A252C" w:rsidP="004D5244">
      <w:pPr>
        <w:spacing w:after="0" w:line="240" w:lineRule="auto"/>
      </w:pPr>
      <w:r>
        <w:separator/>
      </w:r>
    </w:p>
  </w:endnote>
  <w:endnote w:type="continuationSeparator" w:id="0">
    <w:p w14:paraId="4BDAC473" w14:textId="77777777" w:rsidR="003A252C" w:rsidRDefault="003A252C" w:rsidP="004D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925912"/>
      <w:docPartObj>
        <w:docPartGallery w:val="Page Numbers (Bottom of Page)"/>
        <w:docPartUnique/>
      </w:docPartObj>
    </w:sdtPr>
    <w:sdtEndPr>
      <w:rPr>
        <w:noProof/>
      </w:rPr>
    </w:sdtEndPr>
    <w:sdtContent>
      <w:p w14:paraId="2DE0B2AA" w14:textId="1C772558" w:rsidR="00977243" w:rsidRDefault="00977243">
        <w:pPr>
          <w:pStyle w:val="Footer"/>
          <w:jc w:val="center"/>
        </w:pPr>
        <w:r>
          <w:fldChar w:fldCharType="begin"/>
        </w:r>
        <w:r>
          <w:instrText xml:space="preserve"> PAGE   \* MERGEFORMAT </w:instrText>
        </w:r>
        <w:r>
          <w:fldChar w:fldCharType="separate"/>
        </w:r>
        <w:r w:rsidR="00631E2A">
          <w:rPr>
            <w:noProof/>
          </w:rPr>
          <w:t>3</w:t>
        </w:r>
        <w:r>
          <w:rPr>
            <w:noProof/>
          </w:rPr>
          <w:fldChar w:fldCharType="end"/>
        </w:r>
      </w:p>
    </w:sdtContent>
  </w:sdt>
  <w:p w14:paraId="2032E8D8" w14:textId="77777777" w:rsidR="00977243" w:rsidRDefault="0097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85D2F" w14:textId="77777777" w:rsidR="003A252C" w:rsidRDefault="003A252C" w:rsidP="004D5244">
      <w:pPr>
        <w:spacing w:after="0" w:line="240" w:lineRule="auto"/>
      </w:pPr>
      <w:r>
        <w:separator/>
      </w:r>
    </w:p>
  </w:footnote>
  <w:footnote w:type="continuationSeparator" w:id="0">
    <w:p w14:paraId="650ED176" w14:textId="77777777" w:rsidR="003A252C" w:rsidRDefault="003A252C" w:rsidP="004D5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40D28"/>
    <w:multiLevelType w:val="multilevel"/>
    <w:tmpl w:val="C70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F2"/>
    <w:rsid w:val="00001F00"/>
    <w:rsid w:val="00004712"/>
    <w:rsid w:val="00010E16"/>
    <w:rsid w:val="00013A3B"/>
    <w:rsid w:val="00016065"/>
    <w:rsid w:val="00016F07"/>
    <w:rsid w:val="000176EA"/>
    <w:rsid w:val="00024006"/>
    <w:rsid w:val="00025D46"/>
    <w:rsid w:val="0003061E"/>
    <w:rsid w:val="00032BD6"/>
    <w:rsid w:val="00061B1F"/>
    <w:rsid w:val="00062AB1"/>
    <w:rsid w:val="00064982"/>
    <w:rsid w:val="00077363"/>
    <w:rsid w:val="000811E9"/>
    <w:rsid w:val="00083B21"/>
    <w:rsid w:val="00084009"/>
    <w:rsid w:val="00093667"/>
    <w:rsid w:val="00097355"/>
    <w:rsid w:val="000A03EA"/>
    <w:rsid w:val="000A5F85"/>
    <w:rsid w:val="000B3C38"/>
    <w:rsid w:val="000B4BC7"/>
    <w:rsid w:val="000B585C"/>
    <w:rsid w:val="000C451B"/>
    <w:rsid w:val="000D4962"/>
    <w:rsid w:val="000D6901"/>
    <w:rsid w:val="000D7CCD"/>
    <w:rsid w:val="000E49C1"/>
    <w:rsid w:val="000E4D51"/>
    <w:rsid w:val="000E60F6"/>
    <w:rsid w:val="000E78BA"/>
    <w:rsid w:val="000F188D"/>
    <w:rsid w:val="000F3BAD"/>
    <w:rsid w:val="000F796B"/>
    <w:rsid w:val="001020E0"/>
    <w:rsid w:val="001046E4"/>
    <w:rsid w:val="00135296"/>
    <w:rsid w:val="00141DF0"/>
    <w:rsid w:val="00142080"/>
    <w:rsid w:val="001527AF"/>
    <w:rsid w:val="001601B4"/>
    <w:rsid w:val="00161D20"/>
    <w:rsid w:val="00174D51"/>
    <w:rsid w:val="0018255A"/>
    <w:rsid w:val="00183FFE"/>
    <w:rsid w:val="00187124"/>
    <w:rsid w:val="00196106"/>
    <w:rsid w:val="001A3F75"/>
    <w:rsid w:val="001C0A4E"/>
    <w:rsid w:val="001C3D6E"/>
    <w:rsid w:val="001D0039"/>
    <w:rsid w:val="001D0CDC"/>
    <w:rsid w:val="001D56C0"/>
    <w:rsid w:val="001E3C8E"/>
    <w:rsid w:val="001E6019"/>
    <w:rsid w:val="001F46D1"/>
    <w:rsid w:val="00213022"/>
    <w:rsid w:val="002224C2"/>
    <w:rsid w:val="00227820"/>
    <w:rsid w:val="00233B0D"/>
    <w:rsid w:val="002350D2"/>
    <w:rsid w:val="002375EE"/>
    <w:rsid w:val="00243D0A"/>
    <w:rsid w:val="002455C3"/>
    <w:rsid w:val="00250306"/>
    <w:rsid w:val="00256A77"/>
    <w:rsid w:val="00257F34"/>
    <w:rsid w:val="002615C2"/>
    <w:rsid w:val="00263EE4"/>
    <w:rsid w:val="002674DE"/>
    <w:rsid w:val="002717F9"/>
    <w:rsid w:val="00271C87"/>
    <w:rsid w:val="00295560"/>
    <w:rsid w:val="002A0EF2"/>
    <w:rsid w:val="002A1BFD"/>
    <w:rsid w:val="002A1FF0"/>
    <w:rsid w:val="002A3249"/>
    <w:rsid w:val="002B126F"/>
    <w:rsid w:val="002B6716"/>
    <w:rsid w:val="002E5588"/>
    <w:rsid w:val="002E5B8C"/>
    <w:rsid w:val="002E7904"/>
    <w:rsid w:val="002F0A75"/>
    <w:rsid w:val="002F2D62"/>
    <w:rsid w:val="003075E2"/>
    <w:rsid w:val="00311DA0"/>
    <w:rsid w:val="00313C91"/>
    <w:rsid w:val="00316A61"/>
    <w:rsid w:val="00325E1B"/>
    <w:rsid w:val="0033109E"/>
    <w:rsid w:val="003311BF"/>
    <w:rsid w:val="0033543E"/>
    <w:rsid w:val="00336832"/>
    <w:rsid w:val="00341938"/>
    <w:rsid w:val="00353228"/>
    <w:rsid w:val="00353609"/>
    <w:rsid w:val="0035488F"/>
    <w:rsid w:val="00362341"/>
    <w:rsid w:val="003646A5"/>
    <w:rsid w:val="00365AF5"/>
    <w:rsid w:val="00366340"/>
    <w:rsid w:val="00380147"/>
    <w:rsid w:val="003914BD"/>
    <w:rsid w:val="00392AFC"/>
    <w:rsid w:val="0039442D"/>
    <w:rsid w:val="003A14BE"/>
    <w:rsid w:val="003A252C"/>
    <w:rsid w:val="003D4F9D"/>
    <w:rsid w:val="003D7B34"/>
    <w:rsid w:val="003E0DEF"/>
    <w:rsid w:val="003E729C"/>
    <w:rsid w:val="003F177A"/>
    <w:rsid w:val="00402877"/>
    <w:rsid w:val="00405AC4"/>
    <w:rsid w:val="00411875"/>
    <w:rsid w:val="00420DA3"/>
    <w:rsid w:val="00421F72"/>
    <w:rsid w:val="0042307D"/>
    <w:rsid w:val="00427C1B"/>
    <w:rsid w:val="004340E9"/>
    <w:rsid w:val="00440F67"/>
    <w:rsid w:val="00441A34"/>
    <w:rsid w:val="004504D1"/>
    <w:rsid w:val="00450A20"/>
    <w:rsid w:val="00451F34"/>
    <w:rsid w:val="00452203"/>
    <w:rsid w:val="00452AAC"/>
    <w:rsid w:val="004563CF"/>
    <w:rsid w:val="004611E0"/>
    <w:rsid w:val="004612C5"/>
    <w:rsid w:val="00467E59"/>
    <w:rsid w:val="00467E5A"/>
    <w:rsid w:val="00467F55"/>
    <w:rsid w:val="00470BD5"/>
    <w:rsid w:val="004759A8"/>
    <w:rsid w:val="00476CE0"/>
    <w:rsid w:val="00483BE9"/>
    <w:rsid w:val="00484B78"/>
    <w:rsid w:val="00486504"/>
    <w:rsid w:val="004955B5"/>
    <w:rsid w:val="004A3621"/>
    <w:rsid w:val="004A3DF2"/>
    <w:rsid w:val="004B60F1"/>
    <w:rsid w:val="004B61C5"/>
    <w:rsid w:val="004C071D"/>
    <w:rsid w:val="004C2760"/>
    <w:rsid w:val="004C3DBF"/>
    <w:rsid w:val="004D21E7"/>
    <w:rsid w:val="004D5244"/>
    <w:rsid w:val="004D5590"/>
    <w:rsid w:val="004D6FBE"/>
    <w:rsid w:val="004F1738"/>
    <w:rsid w:val="004F4BF4"/>
    <w:rsid w:val="004F6A16"/>
    <w:rsid w:val="004F7504"/>
    <w:rsid w:val="005009FE"/>
    <w:rsid w:val="00505499"/>
    <w:rsid w:val="005107DD"/>
    <w:rsid w:val="00513D87"/>
    <w:rsid w:val="00517F14"/>
    <w:rsid w:val="00523CC3"/>
    <w:rsid w:val="00530A71"/>
    <w:rsid w:val="00532770"/>
    <w:rsid w:val="00545A71"/>
    <w:rsid w:val="00562832"/>
    <w:rsid w:val="00564D3C"/>
    <w:rsid w:val="0057603E"/>
    <w:rsid w:val="0058084C"/>
    <w:rsid w:val="00585C37"/>
    <w:rsid w:val="005927D3"/>
    <w:rsid w:val="00592BC9"/>
    <w:rsid w:val="005B7770"/>
    <w:rsid w:val="005C14B9"/>
    <w:rsid w:val="005C4723"/>
    <w:rsid w:val="005C7579"/>
    <w:rsid w:val="005E0FA3"/>
    <w:rsid w:val="005E4633"/>
    <w:rsid w:val="005F3B9B"/>
    <w:rsid w:val="005F3E38"/>
    <w:rsid w:val="005F690B"/>
    <w:rsid w:val="00600265"/>
    <w:rsid w:val="006029F4"/>
    <w:rsid w:val="00611F7F"/>
    <w:rsid w:val="00612A88"/>
    <w:rsid w:val="006304E4"/>
    <w:rsid w:val="00631E2A"/>
    <w:rsid w:val="00635F6C"/>
    <w:rsid w:val="00644661"/>
    <w:rsid w:val="0064639F"/>
    <w:rsid w:val="00670D96"/>
    <w:rsid w:val="006751A2"/>
    <w:rsid w:val="00675F87"/>
    <w:rsid w:val="00677F6B"/>
    <w:rsid w:val="00685D6B"/>
    <w:rsid w:val="00685DE0"/>
    <w:rsid w:val="006962BC"/>
    <w:rsid w:val="00696369"/>
    <w:rsid w:val="006B7F2C"/>
    <w:rsid w:val="006C24AC"/>
    <w:rsid w:val="006D013E"/>
    <w:rsid w:val="006D236C"/>
    <w:rsid w:val="006E272A"/>
    <w:rsid w:val="006F6817"/>
    <w:rsid w:val="006F70BC"/>
    <w:rsid w:val="007059C9"/>
    <w:rsid w:val="007060EC"/>
    <w:rsid w:val="00706D4E"/>
    <w:rsid w:val="00715272"/>
    <w:rsid w:val="00735163"/>
    <w:rsid w:val="0073714F"/>
    <w:rsid w:val="007419D4"/>
    <w:rsid w:val="00742975"/>
    <w:rsid w:val="0074370E"/>
    <w:rsid w:val="007452AE"/>
    <w:rsid w:val="00754544"/>
    <w:rsid w:val="00757B5A"/>
    <w:rsid w:val="007709B4"/>
    <w:rsid w:val="007711A6"/>
    <w:rsid w:val="00771C05"/>
    <w:rsid w:val="0078723D"/>
    <w:rsid w:val="00796032"/>
    <w:rsid w:val="007A1506"/>
    <w:rsid w:val="007A1679"/>
    <w:rsid w:val="007B4010"/>
    <w:rsid w:val="007B41E4"/>
    <w:rsid w:val="007B4D87"/>
    <w:rsid w:val="007C0051"/>
    <w:rsid w:val="007D1119"/>
    <w:rsid w:val="007D2F42"/>
    <w:rsid w:val="007E0767"/>
    <w:rsid w:val="007E332F"/>
    <w:rsid w:val="007F0117"/>
    <w:rsid w:val="007F0DB6"/>
    <w:rsid w:val="007F51BE"/>
    <w:rsid w:val="007F5750"/>
    <w:rsid w:val="00802F4A"/>
    <w:rsid w:val="008114A4"/>
    <w:rsid w:val="0082083C"/>
    <w:rsid w:val="008253AC"/>
    <w:rsid w:val="00833100"/>
    <w:rsid w:val="0084337A"/>
    <w:rsid w:val="00851F22"/>
    <w:rsid w:val="0085344A"/>
    <w:rsid w:val="00856EF6"/>
    <w:rsid w:val="0086004B"/>
    <w:rsid w:val="0086410C"/>
    <w:rsid w:val="00864BD5"/>
    <w:rsid w:val="0087339C"/>
    <w:rsid w:val="00875EDC"/>
    <w:rsid w:val="00876A58"/>
    <w:rsid w:val="00882E38"/>
    <w:rsid w:val="008874B6"/>
    <w:rsid w:val="00895CB5"/>
    <w:rsid w:val="008A1D4D"/>
    <w:rsid w:val="008A3DFA"/>
    <w:rsid w:val="008A63D9"/>
    <w:rsid w:val="008B1A5B"/>
    <w:rsid w:val="008B492B"/>
    <w:rsid w:val="008B784C"/>
    <w:rsid w:val="008C3189"/>
    <w:rsid w:val="008C6D17"/>
    <w:rsid w:val="008C7CCB"/>
    <w:rsid w:val="008D1A1C"/>
    <w:rsid w:val="008D620D"/>
    <w:rsid w:val="008D7A76"/>
    <w:rsid w:val="008E52EE"/>
    <w:rsid w:val="008E7EDB"/>
    <w:rsid w:val="008F1344"/>
    <w:rsid w:val="008F28CC"/>
    <w:rsid w:val="00900009"/>
    <w:rsid w:val="009002BB"/>
    <w:rsid w:val="009011D0"/>
    <w:rsid w:val="00907083"/>
    <w:rsid w:val="00916D17"/>
    <w:rsid w:val="009272E4"/>
    <w:rsid w:val="009344D1"/>
    <w:rsid w:val="009378E6"/>
    <w:rsid w:val="0094728F"/>
    <w:rsid w:val="00951883"/>
    <w:rsid w:val="009603D6"/>
    <w:rsid w:val="009605D4"/>
    <w:rsid w:val="009629E4"/>
    <w:rsid w:val="009658D8"/>
    <w:rsid w:val="00977243"/>
    <w:rsid w:val="00977EF0"/>
    <w:rsid w:val="00980379"/>
    <w:rsid w:val="00983C68"/>
    <w:rsid w:val="00986A8D"/>
    <w:rsid w:val="00987962"/>
    <w:rsid w:val="009902B1"/>
    <w:rsid w:val="009907CE"/>
    <w:rsid w:val="00990F03"/>
    <w:rsid w:val="00992233"/>
    <w:rsid w:val="00997596"/>
    <w:rsid w:val="009A4BBD"/>
    <w:rsid w:val="009B388C"/>
    <w:rsid w:val="009B5E70"/>
    <w:rsid w:val="009B6AEA"/>
    <w:rsid w:val="009B745C"/>
    <w:rsid w:val="009C3883"/>
    <w:rsid w:val="009C7EAD"/>
    <w:rsid w:val="009D4BB2"/>
    <w:rsid w:val="009F1475"/>
    <w:rsid w:val="009F7334"/>
    <w:rsid w:val="00A120A5"/>
    <w:rsid w:val="00A21376"/>
    <w:rsid w:val="00A2228E"/>
    <w:rsid w:val="00A23D05"/>
    <w:rsid w:val="00A23D67"/>
    <w:rsid w:val="00A41BC9"/>
    <w:rsid w:val="00A4336F"/>
    <w:rsid w:val="00A43E44"/>
    <w:rsid w:val="00A569AE"/>
    <w:rsid w:val="00A63710"/>
    <w:rsid w:val="00A64E24"/>
    <w:rsid w:val="00A70847"/>
    <w:rsid w:val="00A754B1"/>
    <w:rsid w:val="00A77088"/>
    <w:rsid w:val="00A846B6"/>
    <w:rsid w:val="00A867EC"/>
    <w:rsid w:val="00A870DB"/>
    <w:rsid w:val="00A942BF"/>
    <w:rsid w:val="00A9460E"/>
    <w:rsid w:val="00A95F4E"/>
    <w:rsid w:val="00AA161A"/>
    <w:rsid w:val="00AA39DC"/>
    <w:rsid w:val="00AB12C9"/>
    <w:rsid w:val="00AB16EC"/>
    <w:rsid w:val="00AB2222"/>
    <w:rsid w:val="00AB3814"/>
    <w:rsid w:val="00AB72D7"/>
    <w:rsid w:val="00AC1332"/>
    <w:rsid w:val="00AC54EB"/>
    <w:rsid w:val="00AD369C"/>
    <w:rsid w:val="00AD604A"/>
    <w:rsid w:val="00AD6FE3"/>
    <w:rsid w:val="00AD771F"/>
    <w:rsid w:val="00AE2E7C"/>
    <w:rsid w:val="00AF3B01"/>
    <w:rsid w:val="00AF5400"/>
    <w:rsid w:val="00B02BFF"/>
    <w:rsid w:val="00B037BC"/>
    <w:rsid w:val="00B03A50"/>
    <w:rsid w:val="00B214EF"/>
    <w:rsid w:val="00B21AB6"/>
    <w:rsid w:val="00B2294E"/>
    <w:rsid w:val="00B2757E"/>
    <w:rsid w:val="00B379AB"/>
    <w:rsid w:val="00B5220A"/>
    <w:rsid w:val="00B56320"/>
    <w:rsid w:val="00B61B26"/>
    <w:rsid w:val="00B625DB"/>
    <w:rsid w:val="00B66D8F"/>
    <w:rsid w:val="00B71D0D"/>
    <w:rsid w:val="00B87D0E"/>
    <w:rsid w:val="00B93BDC"/>
    <w:rsid w:val="00B93F0B"/>
    <w:rsid w:val="00B95D37"/>
    <w:rsid w:val="00B96684"/>
    <w:rsid w:val="00BA3BEA"/>
    <w:rsid w:val="00BA478F"/>
    <w:rsid w:val="00BB135D"/>
    <w:rsid w:val="00BB4435"/>
    <w:rsid w:val="00BC1EF2"/>
    <w:rsid w:val="00BE0444"/>
    <w:rsid w:val="00BE171A"/>
    <w:rsid w:val="00BE34CC"/>
    <w:rsid w:val="00BE40C6"/>
    <w:rsid w:val="00BE5138"/>
    <w:rsid w:val="00BF13C0"/>
    <w:rsid w:val="00C0330F"/>
    <w:rsid w:val="00C044FF"/>
    <w:rsid w:val="00C046E4"/>
    <w:rsid w:val="00C12F47"/>
    <w:rsid w:val="00C16E28"/>
    <w:rsid w:val="00C255A9"/>
    <w:rsid w:val="00C35B87"/>
    <w:rsid w:val="00C362F9"/>
    <w:rsid w:val="00C41CD4"/>
    <w:rsid w:val="00C46ADE"/>
    <w:rsid w:val="00C47D25"/>
    <w:rsid w:val="00C53E76"/>
    <w:rsid w:val="00C55C8C"/>
    <w:rsid w:val="00C6329C"/>
    <w:rsid w:val="00C80381"/>
    <w:rsid w:val="00C87BEF"/>
    <w:rsid w:val="00C93C55"/>
    <w:rsid w:val="00CA4FC7"/>
    <w:rsid w:val="00CA62E4"/>
    <w:rsid w:val="00CB7461"/>
    <w:rsid w:val="00CC157C"/>
    <w:rsid w:val="00CC2C6B"/>
    <w:rsid w:val="00CC353E"/>
    <w:rsid w:val="00CC560A"/>
    <w:rsid w:val="00CC6117"/>
    <w:rsid w:val="00CC6400"/>
    <w:rsid w:val="00CD2D53"/>
    <w:rsid w:val="00CD5916"/>
    <w:rsid w:val="00CD59CB"/>
    <w:rsid w:val="00CE61D6"/>
    <w:rsid w:val="00CF256E"/>
    <w:rsid w:val="00CF6897"/>
    <w:rsid w:val="00D0411A"/>
    <w:rsid w:val="00D0693D"/>
    <w:rsid w:val="00D06971"/>
    <w:rsid w:val="00D07463"/>
    <w:rsid w:val="00D22829"/>
    <w:rsid w:val="00D258BD"/>
    <w:rsid w:val="00D27083"/>
    <w:rsid w:val="00D363B5"/>
    <w:rsid w:val="00D423F7"/>
    <w:rsid w:val="00D43E54"/>
    <w:rsid w:val="00D44237"/>
    <w:rsid w:val="00D467D8"/>
    <w:rsid w:val="00D5001A"/>
    <w:rsid w:val="00D538DD"/>
    <w:rsid w:val="00D55AB8"/>
    <w:rsid w:val="00D613CA"/>
    <w:rsid w:val="00D641A7"/>
    <w:rsid w:val="00D64F82"/>
    <w:rsid w:val="00D700FF"/>
    <w:rsid w:val="00D8396F"/>
    <w:rsid w:val="00D90B87"/>
    <w:rsid w:val="00D928AC"/>
    <w:rsid w:val="00DB03E9"/>
    <w:rsid w:val="00DB706F"/>
    <w:rsid w:val="00DC1C7E"/>
    <w:rsid w:val="00DC30BD"/>
    <w:rsid w:val="00DC76B0"/>
    <w:rsid w:val="00DD102D"/>
    <w:rsid w:val="00DD5233"/>
    <w:rsid w:val="00DE36D4"/>
    <w:rsid w:val="00DE3F74"/>
    <w:rsid w:val="00DE423C"/>
    <w:rsid w:val="00DE4564"/>
    <w:rsid w:val="00DE5CC0"/>
    <w:rsid w:val="00E10550"/>
    <w:rsid w:val="00E177E0"/>
    <w:rsid w:val="00E35CC1"/>
    <w:rsid w:val="00E36AE0"/>
    <w:rsid w:val="00E375A8"/>
    <w:rsid w:val="00E378DB"/>
    <w:rsid w:val="00E42333"/>
    <w:rsid w:val="00E513E6"/>
    <w:rsid w:val="00E52E4D"/>
    <w:rsid w:val="00E6291A"/>
    <w:rsid w:val="00E67FBE"/>
    <w:rsid w:val="00E7277A"/>
    <w:rsid w:val="00E7486F"/>
    <w:rsid w:val="00E803F0"/>
    <w:rsid w:val="00E86FA8"/>
    <w:rsid w:val="00E93E61"/>
    <w:rsid w:val="00EA0E4F"/>
    <w:rsid w:val="00EA49B1"/>
    <w:rsid w:val="00EA5E92"/>
    <w:rsid w:val="00EB6BB7"/>
    <w:rsid w:val="00EB758B"/>
    <w:rsid w:val="00EC3E57"/>
    <w:rsid w:val="00EC42DE"/>
    <w:rsid w:val="00ED12F5"/>
    <w:rsid w:val="00ED3413"/>
    <w:rsid w:val="00ED4012"/>
    <w:rsid w:val="00ED746F"/>
    <w:rsid w:val="00ED7EC4"/>
    <w:rsid w:val="00EE4A18"/>
    <w:rsid w:val="00EF0A8F"/>
    <w:rsid w:val="00EF1CE6"/>
    <w:rsid w:val="00EF4128"/>
    <w:rsid w:val="00F04AAB"/>
    <w:rsid w:val="00F075AA"/>
    <w:rsid w:val="00F12CCF"/>
    <w:rsid w:val="00F12E99"/>
    <w:rsid w:val="00F152F5"/>
    <w:rsid w:val="00F2238E"/>
    <w:rsid w:val="00F226E5"/>
    <w:rsid w:val="00F34625"/>
    <w:rsid w:val="00F37841"/>
    <w:rsid w:val="00F41CDB"/>
    <w:rsid w:val="00F41CF7"/>
    <w:rsid w:val="00F422E0"/>
    <w:rsid w:val="00F47E4B"/>
    <w:rsid w:val="00F5438C"/>
    <w:rsid w:val="00F66B44"/>
    <w:rsid w:val="00F7319A"/>
    <w:rsid w:val="00F85E96"/>
    <w:rsid w:val="00F909F2"/>
    <w:rsid w:val="00F95EE9"/>
    <w:rsid w:val="00F9776A"/>
    <w:rsid w:val="00FA3B4E"/>
    <w:rsid w:val="00FA7BBE"/>
    <w:rsid w:val="00FC5645"/>
    <w:rsid w:val="00FC606A"/>
    <w:rsid w:val="00FC6E3E"/>
    <w:rsid w:val="00FC6E7D"/>
    <w:rsid w:val="00FD7B1C"/>
    <w:rsid w:val="00FE0ED5"/>
    <w:rsid w:val="00FE6BF6"/>
    <w:rsid w:val="00FF757A"/>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4DE66"/>
  <w15:docId w15:val="{AFF87D0D-8EBF-4B3E-9579-5426676C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0EF2"/>
    <w:rPr>
      <w:rFonts w:cs="Times New Roman"/>
      <w:color w:val="0000FF"/>
      <w:u w:val="single"/>
    </w:rPr>
  </w:style>
  <w:style w:type="paragraph" w:styleId="BalloonText">
    <w:name w:val="Balloon Text"/>
    <w:basedOn w:val="Normal"/>
    <w:link w:val="BalloonTextChar"/>
    <w:uiPriority w:val="99"/>
    <w:semiHidden/>
    <w:rsid w:val="002A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EF2"/>
    <w:rPr>
      <w:rFonts w:ascii="Tahoma" w:hAnsi="Tahoma" w:cs="Tahoma"/>
      <w:sz w:val="16"/>
      <w:szCs w:val="16"/>
    </w:rPr>
  </w:style>
  <w:style w:type="paragraph" w:styleId="Header">
    <w:name w:val="header"/>
    <w:basedOn w:val="Normal"/>
    <w:link w:val="HeaderChar"/>
    <w:uiPriority w:val="99"/>
    <w:rsid w:val="004D52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D5244"/>
    <w:rPr>
      <w:rFonts w:cs="Times New Roman"/>
    </w:rPr>
  </w:style>
  <w:style w:type="paragraph" w:styleId="Footer">
    <w:name w:val="footer"/>
    <w:basedOn w:val="Normal"/>
    <w:link w:val="FooterChar"/>
    <w:uiPriority w:val="99"/>
    <w:rsid w:val="004D52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5244"/>
    <w:rPr>
      <w:rFonts w:cs="Times New Roman"/>
    </w:rPr>
  </w:style>
  <w:style w:type="character" w:styleId="CommentReference">
    <w:name w:val="annotation reference"/>
    <w:basedOn w:val="DefaultParagraphFont"/>
    <w:uiPriority w:val="99"/>
    <w:semiHidden/>
    <w:rsid w:val="00BA478F"/>
    <w:rPr>
      <w:rFonts w:cs="Times New Roman"/>
      <w:sz w:val="16"/>
      <w:szCs w:val="16"/>
    </w:rPr>
  </w:style>
  <w:style w:type="paragraph" w:styleId="CommentText">
    <w:name w:val="annotation text"/>
    <w:basedOn w:val="Normal"/>
    <w:link w:val="CommentTextChar"/>
    <w:uiPriority w:val="99"/>
    <w:semiHidden/>
    <w:rsid w:val="00BA478F"/>
    <w:rPr>
      <w:sz w:val="20"/>
      <w:szCs w:val="20"/>
    </w:rPr>
  </w:style>
  <w:style w:type="character" w:customStyle="1" w:styleId="CommentTextChar">
    <w:name w:val="Comment Text Char"/>
    <w:basedOn w:val="DefaultParagraphFont"/>
    <w:link w:val="CommentText"/>
    <w:uiPriority w:val="99"/>
    <w:semiHidden/>
    <w:rsid w:val="003E615E"/>
    <w:rPr>
      <w:sz w:val="20"/>
      <w:szCs w:val="20"/>
    </w:rPr>
  </w:style>
  <w:style w:type="paragraph" w:styleId="CommentSubject">
    <w:name w:val="annotation subject"/>
    <w:basedOn w:val="CommentText"/>
    <w:next w:val="CommentText"/>
    <w:link w:val="CommentSubjectChar"/>
    <w:uiPriority w:val="99"/>
    <w:semiHidden/>
    <w:rsid w:val="00BA478F"/>
    <w:rPr>
      <w:b/>
      <w:bCs/>
    </w:rPr>
  </w:style>
  <w:style w:type="character" w:customStyle="1" w:styleId="CommentSubjectChar">
    <w:name w:val="Comment Subject Char"/>
    <w:basedOn w:val="CommentTextChar"/>
    <w:link w:val="CommentSubject"/>
    <w:uiPriority w:val="99"/>
    <w:semiHidden/>
    <w:rsid w:val="003E615E"/>
    <w:rPr>
      <w:b/>
      <w:bCs/>
      <w:sz w:val="20"/>
      <w:szCs w:val="20"/>
    </w:rPr>
  </w:style>
  <w:style w:type="character" w:styleId="FollowedHyperlink">
    <w:name w:val="FollowedHyperlink"/>
    <w:basedOn w:val="DefaultParagraphFont"/>
    <w:uiPriority w:val="99"/>
    <w:semiHidden/>
    <w:unhideWhenUsed/>
    <w:rsid w:val="00001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30314">
      <w:marLeft w:val="0"/>
      <w:marRight w:val="0"/>
      <w:marTop w:val="0"/>
      <w:marBottom w:val="0"/>
      <w:divBdr>
        <w:top w:val="none" w:sz="0" w:space="0" w:color="auto"/>
        <w:left w:val="none" w:sz="0" w:space="0" w:color="auto"/>
        <w:bottom w:val="none" w:sz="0" w:space="0" w:color="auto"/>
        <w:right w:val="none" w:sz="0" w:space="0" w:color="auto"/>
      </w:divBdr>
      <w:divsChild>
        <w:div w:id="633830317">
          <w:marLeft w:val="0"/>
          <w:marRight w:val="0"/>
          <w:marTop w:val="0"/>
          <w:marBottom w:val="0"/>
          <w:divBdr>
            <w:top w:val="none" w:sz="0" w:space="0" w:color="auto"/>
            <w:left w:val="none" w:sz="0" w:space="0" w:color="auto"/>
            <w:bottom w:val="none" w:sz="0" w:space="0" w:color="auto"/>
            <w:right w:val="none" w:sz="0" w:space="0" w:color="auto"/>
          </w:divBdr>
          <w:divsChild>
            <w:div w:id="633830318">
              <w:marLeft w:val="0"/>
              <w:marRight w:val="0"/>
              <w:marTop w:val="0"/>
              <w:marBottom w:val="0"/>
              <w:divBdr>
                <w:top w:val="none" w:sz="0" w:space="0" w:color="auto"/>
                <w:left w:val="none" w:sz="0" w:space="0" w:color="auto"/>
                <w:bottom w:val="none" w:sz="0" w:space="0" w:color="auto"/>
                <w:right w:val="none" w:sz="0" w:space="0" w:color="auto"/>
              </w:divBdr>
              <w:divsChild>
                <w:div w:id="633830319">
                  <w:marLeft w:val="0"/>
                  <w:marRight w:val="0"/>
                  <w:marTop w:val="0"/>
                  <w:marBottom w:val="0"/>
                  <w:divBdr>
                    <w:top w:val="none" w:sz="0" w:space="0" w:color="auto"/>
                    <w:left w:val="none" w:sz="0" w:space="0" w:color="auto"/>
                    <w:bottom w:val="none" w:sz="0" w:space="0" w:color="auto"/>
                    <w:right w:val="none" w:sz="0" w:space="0" w:color="auto"/>
                  </w:divBdr>
                  <w:divsChild>
                    <w:div w:id="633830315">
                      <w:marLeft w:val="0"/>
                      <w:marRight w:val="0"/>
                      <w:marTop w:val="0"/>
                      <w:marBottom w:val="0"/>
                      <w:divBdr>
                        <w:top w:val="none" w:sz="0" w:space="0" w:color="auto"/>
                        <w:left w:val="none" w:sz="0" w:space="0" w:color="auto"/>
                        <w:bottom w:val="none" w:sz="0" w:space="0" w:color="auto"/>
                        <w:right w:val="none" w:sz="0" w:space="0" w:color="auto"/>
                      </w:divBdr>
                      <w:divsChild>
                        <w:div w:id="6338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ec.btvc-ctvb.ec@canada.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5DA9-0DA3-40B2-AF93-EC0A33AA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Climate Trends and Variations Bulletin – Winter 2013-2014</vt:lpstr>
      <vt:lpstr>Climate Trends and Variations Bulletin – Winter 2013-2014</vt:lpstr>
    </vt:vector>
  </TitlesOfParts>
  <Company>Environment Canada</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Trends and Variations Bulletin – Winter 2013-2014</dc:title>
  <dc:creator>Vincent,Lucie [Ontario]</dc:creator>
  <cp:lastModifiedBy>Leung,Kinson [Ontario]</cp:lastModifiedBy>
  <cp:revision>3</cp:revision>
  <cp:lastPrinted>2017-08-10T19:06:00Z</cp:lastPrinted>
  <dcterms:created xsi:type="dcterms:W3CDTF">2019-06-28T14:37:00Z</dcterms:created>
  <dcterms:modified xsi:type="dcterms:W3CDTF">2019-06-28T14:38:00Z</dcterms:modified>
</cp:coreProperties>
</file>