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D3" w:rsidRPr="002F5FF1" w:rsidRDefault="00041ED3" w:rsidP="00041ED3">
      <w:pPr>
        <w:pStyle w:val="TOCHeading"/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F5FF1"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TABLE OF CONTENTS</w:t>
      </w:r>
      <w:r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– APPENDIX D</w:t>
      </w:r>
    </w:p>
    <w:p w:rsidR="00041ED3" w:rsidRPr="002F5FF1" w:rsidRDefault="00041ED3" w:rsidP="00041ED3">
      <w:pPr>
        <w:spacing w:after="0"/>
      </w:pPr>
    </w:p>
    <w:p w:rsidR="00041ED3" w:rsidRPr="006C1628" w:rsidRDefault="00041ED3" w:rsidP="00041ED3">
      <w:pPr>
        <w:pStyle w:val="TOC1"/>
        <w:rPr>
          <w:b/>
          <w:bCs/>
          <w:sz w:val="24"/>
        </w:rPr>
      </w:pPr>
      <w:r>
        <w:rPr>
          <w:b/>
          <w:bCs/>
          <w:sz w:val="24"/>
        </w:rPr>
        <w:t>Summary of extreme wind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2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Long-term m</w:t>
      </w:r>
      <w:r w:rsidRPr="002F5FF1">
        <w:rPr>
          <w:b/>
          <w:bCs/>
          <w:sz w:val="24"/>
        </w:rPr>
        <w:t>ean</w:t>
      </w:r>
      <w:r>
        <w:rPr>
          <w:b/>
          <w:bCs/>
          <w:sz w:val="24"/>
        </w:rPr>
        <w:t xml:space="preserve">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3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Linear t</w:t>
      </w:r>
      <w:r w:rsidRPr="002F5FF1">
        <w:rPr>
          <w:b/>
          <w:bCs/>
          <w:sz w:val="24"/>
        </w:rPr>
        <w:t>rends</w:t>
      </w:r>
      <w:r>
        <w:rPr>
          <w:b/>
          <w:bCs/>
          <w:sz w:val="24"/>
        </w:rPr>
        <w:t xml:space="preserve"> in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5</w:t>
      </w:r>
    </w:p>
    <w:p w:rsidR="00041ED3" w:rsidRDefault="00041ED3" w:rsidP="0083118C">
      <w:pPr>
        <w:pStyle w:val="Caption"/>
        <w:keepNext/>
        <w:ind w:left="1168" w:hanging="1168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Pr="00041ED3" w:rsidRDefault="00041ED3" w:rsidP="00041ED3">
      <w:pPr>
        <w:pStyle w:val="Table"/>
      </w:pPr>
    </w:p>
    <w:p w:rsidR="0083118C" w:rsidRDefault="0083118C" w:rsidP="0083118C">
      <w:pPr>
        <w:pStyle w:val="Caption"/>
        <w:keepNext/>
        <w:ind w:left="1168" w:hanging="1168"/>
      </w:pPr>
      <w:r>
        <w:t>Extreme Wind Indices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"/>
        <w:gridCol w:w="2054"/>
        <w:gridCol w:w="5748"/>
        <w:gridCol w:w="639"/>
      </w:tblGrid>
      <w:tr w:rsidR="0083118C" w:rsidRPr="00F72F01" w:rsidTr="009635CF">
        <w:trPr>
          <w:trHeight w:val="138"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ID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Indicator name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Definitions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Unit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WsMx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Monthly max wind speed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>Monthly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WsAx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max wind speed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Annual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WsB7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7)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WsB8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WsB9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WsB10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fWsB7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12)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fWsB8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fWsB9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%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fWsB10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fWs90p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top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fWs10p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low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HWsDI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Top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days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LWsDI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Low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>days</w:t>
            </w:r>
          </w:p>
        </w:tc>
      </w:tr>
    </w:tbl>
    <w:p w:rsidR="0083118C" w:rsidRDefault="0083118C"/>
    <w:p w:rsidR="00D802B2" w:rsidRDefault="00D802B2" w:rsidP="00D802B2">
      <w:r>
        <w:t>* Monthly maxima (</w:t>
      </w:r>
      <w:proofErr w:type="spellStart"/>
      <w:r>
        <w:t>HsMx</w:t>
      </w:r>
      <w:proofErr w:type="spellEnd"/>
      <w:r>
        <w:t>) and annual maxima (</w:t>
      </w:r>
      <w:proofErr w:type="spellStart"/>
      <w:r>
        <w:t>HsAx</w:t>
      </w:r>
      <w:proofErr w:type="spellEnd"/>
      <w:r>
        <w:t xml:space="preserve">) are included in the summary statistics section and can be found in Appendix C. </w:t>
      </w:r>
    </w:p>
    <w:p w:rsidR="00D802B2" w:rsidRDefault="00D802B2" w:rsidP="00D802B2">
      <w:r>
        <w:t xml:space="preserve">** Maps for Calm wind days (WsB0), Near gale-force wind days (WsB7), Gale-force wind days (WsB8), Strong gale-force wind days (WsB9), and Storm-force wind days (WsB10) are not explicitly produced. Equivalent information can be found in </w:t>
      </w:r>
      <w:r w:rsidR="00CF3E01">
        <w:t xml:space="preserve">the frequency indices </w:t>
      </w:r>
      <w:r>
        <w:t>fWsB0 through fWsB10, respectively</w:t>
      </w:r>
      <w:r w:rsidR="00CF3E01">
        <w:t>,</w:t>
      </w:r>
      <w:r>
        <w:t xml:space="preserve"> as percentages of the days of the year.</w:t>
      </w:r>
    </w:p>
    <w:p w:rsidR="00D802B2" w:rsidRDefault="00D802B2"/>
    <w:p w:rsidR="00F70421" w:rsidRDefault="0083118C" w:rsidP="00D22301">
      <w:pPr>
        <w:jc w:val="center"/>
      </w:pPr>
      <w:r>
        <w:br w:type="page"/>
      </w:r>
      <w:r w:rsidR="00F70421" w:rsidRPr="00F70421">
        <w:rPr>
          <w:noProof/>
          <w:lang w:val="en-US"/>
        </w:rPr>
        <w:lastRenderedPageBreak/>
        <w:drawing>
          <wp:inline distT="0" distB="0" distL="0" distR="0" wp14:anchorId="3ADC9202" wp14:editId="3ADA3417">
            <wp:extent cx="2881630" cy="2519680"/>
            <wp:effectExtent l="0" t="0" r="0" b="0"/>
            <wp:docPr id="1" name="Picture 1" descr="E:\CLIMATE DATA\2 - AREA2\Area_2_St_Lawrence_G_Indices_Mean_W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LIMATE DATA\2 - AREA2\Area_2_St_Lawrence_G_Indices_Mean_WS\Image\Plan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0421" w:rsidRPr="00F70421">
        <w:rPr>
          <w:noProof/>
          <w:lang w:val="en-US"/>
        </w:rPr>
        <w:drawing>
          <wp:inline distT="0" distB="0" distL="0" distR="0" wp14:anchorId="2B5431EB" wp14:editId="580BCB7A">
            <wp:extent cx="2881630" cy="2519680"/>
            <wp:effectExtent l="0" t="0" r="0" b="0"/>
            <wp:docPr id="6" name="Picture 6" descr="E:\CLIMATE DATA\2 - AREA2\Area_2_St_Lawrence_G_Indices_Mean_WS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CLIMATE DATA\2 - AREA2\Area_2_St_Lawrence_G_Indices_Mean_WS\Image\Plan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0421" w:rsidRPr="00F70421">
        <w:rPr>
          <w:noProof/>
          <w:lang w:val="en-US"/>
        </w:rPr>
        <w:drawing>
          <wp:inline distT="0" distB="0" distL="0" distR="0" wp14:anchorId="0405AD0B" wp14:editId="68CC438E">
            <wp:extent cx="2881630" cy="2519680"/>
            <wp:effectExtent l="0" t="0" r="0" b="0"/>
            <wp:docPr id="2" name="Picture 2" descr="E:\CLIMATE DATA\2 - AREA2\Area_2_St_Lawrence_G_Indices_Mean_W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CLIMATE DATA\2 - AREA2\Area_2_St_Lawrence_G_Indices_Mean_WS\Image\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0421" w:rsidRPr="00F70421">
        <w:rPr>
          <w:noProof/>
          <w:lang w:val="en-US"/>
        </w:rPr>
        <w:drawing>
          <wp:inline distT="0" distB="0" distL="0" distR="0" wp14:anchorId="7F1117FC" wp14:editId="4DD21F7F">
            <wp:extent cx="2881630" cy="2519680"/>
            <wp:effectExtent l="0" t="0" r="0" b="0"/>
            <wp:docPr id="5" name="Picture 5" descr="E:\CLIMATE DATA\2 - AREA2\Area_2_St_Lawrence_G_Indices_Mean_WS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CLIMATE DATA\2 - AREA2\Area_2_St_Lawrence_G_Indices_Mean_WS\Image\Plan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0421" w:rsidRPr="00F70421">
        <w:rPr>
          <w:noProof/>
          <w:lang w:val="en-US"/>
        </w:rPr>
        <w:drawing>
          <wp:inline distT="0" distB="0" distL="0" distR="0" wp14:anchorId="4E41CB64" wp14:editId="4D2493F8">
            <wp:extent cx="2881630" cy="2519680"/>
            <wp:effectExtent l="0" t="0" r="0" b="0"/>
            <wp:docPr id="4" name="Picture 4" descr="E:\CLIMATE DATA\2 - AREA2\Area_2_St_Lawrence_G_Indices_Mean_WS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CLIMATE DATA\2 - AREA2\Area_2_St_Lawrence_G_Indices_Mean_WS\Image\Plan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234" w:rsidRDefault="00F70421" w:rsidP="00D22301">
      <w:pPr>
        <w:jc w:val="center"/>
      </w:pPr>
      <w:r w:rsidRPr="00F70421">
        <w:rPr>
          <w:noProof/>
          <w:lang w:val="en-US"/>
        </w:rPr>
        <w:lastRenderedPageBreak/>
        <w:drawing>
          <wp:inline distT="0" distB="0" distL="0" distR="0" wp14:anchorId="38D787B1" wp14:editId="3F7D5509">
            <wp:extent cx="2881630" cy="2519680"/>
            <wp:effectExtent l="0" t="0" r="0" b="0"/>
            <wp:docPr id="8" name="Picture 8" descr="E:\CLIMATE DATA\2 - AREA2\Area_2_St_Lawrence_G_Indices_Mean_WS\Image\Pla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CLIMATE DATA\2 - AREA2\Area_2_St_Lawrence_G_Indices_Mean_WS\Image\Plan1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9" name="Picture 9" descr="E:\CLIMATE DATA\2 - AREA2\Area_2_St_Lawrence_G_Indices_Mean_WS\Image\Plan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CLIMATE DATA\2 - AREA2\Area_2_St_Lawrence_G_Indices_Mean_WS\Image\Plan1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7" name="Picture 7" descr="E:\CLIMATE DATA\2 - AREA2\Area_2_St_Lawrence_G_Indices_Mean_WS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CLIMATE DATA\2 - AREA2\Area_2_St_Lawrence_G_Indices_Mean_WS\Image\Plan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" name="Picture 3" descr="E:\CLIMATE DATA\2 - AREA2\Area_2_St_Lawrence_G_Indices_Mean_W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LIMATE DATA\2 - AREA2\Area_2_St_Lawrence_G_Indices_Mean_WS\Image\Plan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421" w:rsidRDefault="00F70421" w:rsidP="00D22301">
      <w:pPr>
        <w:jc w:val="center"/>
      </w:pPr>
    </w:p>
    <w:p w:rsidR="00F70421" w:rsidRDefault="00F70421" w:rsidP="00D22301">
      <w:pPr>
        <w:jc w:val="center"/>
      </w:pPr>
      <w:r w:rsidRPr="00F70421">
        <w:rPr>
          <w:noProof/>
          <w:lang w:val="en-US"/>
        </w:rPr>
        <w:lastRenderedPageBreak/>
        <w:drawing>
          <wp:inline distT="0" distB="0" distL="0" distR="0" wp14:anchorId="3DE9AA0A" wp14:editId="482D292F">
            <wp:extent cx="2881630" cy="2519680"/>
            <wp:effectExtent l="0" t="0" r="0" b="0"/>
            <wp:docPr id="18" name="Picture 18" descr="E:\CLIMATE DATA\2 - AREA2\Area_2_St_Lawrence_H_Indices_Trend_W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CLIMATE DATA\2 - AREA2\Area_2_St_Lawrence_H_Indices_Trend_WS\Image\Plan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 wp14:anchorId="03B77338" wp14:editId="2FCBCEA3">
            <wp:extent cx="2881630" cy="2519680"/>
            <wp:effectExtent l="0" t="0" r="0" b="0"/>
            <wp:docPr id="12" name="Picture 12" descr="E:\CLIMATE DATA\2 - AREA2\Area_2_St_Lawrence_H_Indices_Trend_WS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CLIMATE DATA\2 - AREA2\Area_2_St_Lawrence_H_Indices_Trend_WS\Image\Plan1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 wp14:anchorId="5137A841" wp14:editId="5F3EACDD">
            <wp:extent cx="2881630" cy="2519680"/>
            <wp:effectExtent l="0" t="0" r="0" b="0"/>
            <wp:docPr id="19" name="Picture 19" descr="E:\CLIMATE DATA\2 - AREA2\Area_2_St_Lawrence_H_Indices_Trend_W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CLIMATE DATA\2 - AREA2\Area_2_St_Lawrence_H_Indices_Trend_WS\Image\Plan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4" name="Picture 24" descr="E:\CLIMATE DATA\2 - AREA2\Area_2_St_Lawrence_H_Indices_Trend_WS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:\CLIMATE DATA\2 - AREA2\Area_2_St_Lawrence_H_Indices_Trend_WS\Image\Plan7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3" name="Picture 23" descr="E:\CLIMATE DATA\2 - AREA2\Area_2_St_Lawrence_H_Indices_Trend_WS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:\CLIMATE DATA\2 - AREA2\Area_2_St_Lawrence_H_Indices_Trend_WS\Image\Plan6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421" w:rsidRDefault="00F70421" w:rsidP="00D22301">
      <w:pPr>
        <w:jc w:val="center"/>
      </w:pPr>
      <w:r w:rsidRPr="00F70421">
        <w:rPr>
          <w:noProof/>
          <w:lang w:val="en-US"/>
        </w:rPr>
        <w:lastRenderedPageBreak/>
        <w:drawing>
          <wp:inline distT="0" distB="0" distL="0" distR="0" wp14:anchorId="66DEDC06" wp14:editId="0EABC905">
            <wp:extent cx="2881630" cy="2519680"/>
            <wp:effectExtent l="0" t="0" r="0" b="0"/>
            <wp:docPr id="16" name="Picture 16" descr="E:\CLIMATE DATA\2 - AREA2\Area_2_St_Lawrence_H_Indices_Trend_WS\Image\Pla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CLIMATE DATA\2 - AREA2\Area_2_St_Lawrence_H_Indices_Trend_WS\Image\Plan1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421">
        <w:rPr>
          <w:noProof/>
          <w:lang w:val="en-US"/>
        </w:rPr>
        <w:drawing>
          <wp:inline distT="0" distB="0" distL="0" distR="0" wp14:anchorId="0652B812" wp14:editId="2E6C3D44">
            <wp:extent cx="2881630" cy="2519680"/>
            <wp:effectExtent l="0" t="0" r="0" b="0"/>
            <wp:docPr id="17" name="Picture 17" descr="E:\CLIMATE DATA\2 - AREA2\Area_2_St_Lawrence_H_Indices_Trend_WS\Image\Plan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CLIMATE DATA\2 - AREA2\Area_2_St_Lawrence_H_Indices_Trend_WS\Image\Plan1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F70421">
        <w:rPr>
          <w:noProof/>
          <w:lang w:val="en-US"/>
        </w:rPr>
        <w:drawing>
          <wp:inline distT="0" distB="0" distL="0" distR="0" wp14:anchorId="2CD428F0" wp14:editId="62333AC1">
            <wp:extent cx="2881630" cy="2519680"/>
            <wp:effectExtent l="0" t="0" r="0" b="0"/>
            <wp:docPr id="13" name="Picture 13" descr="E:\CLIMATE DATA\2 - AREA2\Area_2_St_Lawrence_H_Indices_Trend_WS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CLIMATE DATA\2 - AREA2\Area_2_St_Lawrence_H_Indices_Trend_WS\Image\Plan1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F7042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0" name="Picture 20" descr="E:\CLIMATE DATA\2 - AREA2\Area_2_St_Lawrence_H_Indices_Trend_W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:\CLIMATE DATA\2 - AREA2\Area_2_St_Lawrence_H_Indices_Trend_WS\Image\Plan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0421">
      <w:headerReference w:type="default" r:id="rId24"/>
      <w:footerReference w:type="default" r:id="rId2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0F8" w:rsidRDefault="006160F8" w:rsidP="006D3A1F">
      <w:pPr>
        <w:spacing w:after="0" w:line="240" w:lineRule="auto"/>
      </w:pPr>
      <w:r>
        <w:separator/>
      </w:r>
    </w:p>
  </w:endnote>
  <w:endnote w:type="continuationSeparator" w:id="0">
    <w:p w:rsidR="006160F8" w:rsidRDefault="006160F8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70421">
      <w:rPr>
        <w:noProof/>
      </w:rPr>
      <w:t>6</w:t>
    </w:r>
    <w:r>
      <w:fldChar w:fldCharType="end"/>
    </w:r>
    <w:r>
      <w:t xml:space="preserve"> of </w:t>
    </w:r>
    <w:fldSimple w:instr=" NUMPAGES   \* MERGEFORMAT ">
      <w:r w:rsidR="00F70421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0F8" w:rsidRDefault="006160F8" w:rsidP="006D3A1F">
      <w:pPr>
        <w:spacing w:after="0" w:line="240" w:lineRule="auto"/>
      </w:pPr>
      <w:r>
        <w:separator/>
      </w:r>
    </w:p>
  </w:footnote>
  <w:footnote w:type="continuationSeparator" w:id="0">
    <w:p w:rsidR="006160F8" w:rsidRDefault="006160F8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D70943">
    <w:pPr>
      <w:pStyle w:val="Header"/>
      <w:rPr>
        <w:lang w:val="en-US"/>
      </w:rPr>
    </w:pPr>
    <w:r>
      <w:rPr>
        <w:lang w:val="en-US"/>
      </w:rPr>
      <w:t>ECCC ARP Pilot Area 2</w:t>
    </w:r>
    <w:r w:rsidR="006D3A1F">
      <w:rPr>
        <w:lang w:val="en-US"/>
      </w:rPr>
      <w:t xml:space="preserve"> Climatological Report</w:t>
    </w:r>
    <w:r w:rsidR="006D3A1F">
      <w:rPr>
        <w:lang w:val="en-US"/>
      </w:rPr>
      <w:tab/>
    </w:r>
    <w:r w:rsidR="006D3A1F"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8C4847">
      <w:rPr>
        <w:lang w:val="en-US"/>
      </w:rPr>
      <w:t>D</w:t>
    </w:r>
    <w:r w:rsidR="00A07068">
      <w:rPr>
        <w:lang w:val="en-US"/>
      </w:rPr>
      <w:t xml:space="preserve">: </w:t>
    </w:r>
    <w:r w:rsidR="005E25B2" w:rsidRPr="005E25B2">
      <w:rPr>
        <w:lang w:val="en-US"/>
      </w:rPr>
      <w:t>HISTORICAL EXTREME WIND SPEED INDICES AND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403E7"/>
    <w:rsid w:val="00041ED3"/>
    <w:rsid w:val="002C71DE"/>
    <w:rsid w:val="002F13DC"/>
    <w:rsid w:val="00440C16"/>
    <w:rsid w:val="005E25B2"/>
    <w:rsid w:val="006160F8"/>
    <w:rsid w:val="006368B7"/>
    <w:rsid w:val="00644D04"/>
    <w:rsid w:val="006D3A1F"/>
    <w:rsid w:val="0083118C"/>
    <w:rsid w:val="00836E37"/>
    <w:rsid w:val="008C4847"/>
    <w:rsid w:val="00906A73"/>
    <w:rsid w:val="00940234"/>
    <w:rsid w:val="00941335"/>
    <w:rsid w:val="009652D0"/>
    <w:rsid w:val="009D734D"/>
    <w:rsid w:val="00A07068"/>
    <w:rsid w:val="00A814A2"/>
    <w:rsid w:val="00AC47D3"/>
    <w:rsid w:val="00B104CA"/>
    <w:rsid w:val="00CA3A77"/>
    <w:rsid w:val="00CF3E01"/>
    <w:rsid w:val="00D22301"/>
    <w:rsid w:val="00D56A17"/>
    <w:rsid w:val="00D70943"/>
    <w:rsid w:val="00D71E75"/>
    <w:rsid w:val="00D802B2"/>
    <w:rsid w:val="00DC3128"/>
    <w:rsid w:val="00DE4342"/>
    <w:rsid w:val="00E83583"/>
    <w:rsid w:val="00ED7CA9"/>
    <w:rsid w:val="00F236FB"/>
    <w:rsid w:val="00F70421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37FCE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E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83118C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8311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83118C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83118C"/>
    <w:rPr>
      <w:rFonts w:ascii="Arial" w:eastAsia="Times New Roman" w:hAnsi="Arial" w:cs="Times New Roman"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41E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41ED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41ED3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33</cp:revision>
  <cp:lastPrinted>2017-02-28T12:08:00Z</cp:lastPrinted>
  <dcterms:created xsi:type="dcterms:W3CDTF">2017-02-27T13:48:00Z</dcterms:created>
  <dcterms:modified xsi:type="dcterms:W3CDTF">2017-03-22T19:29:00Z</dcterms:modified>
</cp:coreProperties>
</file>